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5" w:name="_GoBack"/>
      <w:bookmarkEnd w:id="5"/>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四、境外上市公司境内股东持股登记及变更登记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.《国家外汇管理局关于境外上市外汇管理有关问题的通知》（汇发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 《H股公司境内未上市股份申请“全流通”业务指引》（证监会公告〔2019〕22号）；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4.《国家外汇管理局关于全面推开H股“全流通”改革所涉及外汇管理工作的批复》（汇复〔2020〕1号）。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申请人为持有境外上市公司股份的境内股东，应在拟增持或减持前20个工作日内，到境内股东所在地外汇局办理境外持股登记。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禁止性要求：</w:t>
      </w: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1、境外上市公司境内股东持股登记申请材料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关于增持或减持事项的董事会或股东大会决议（如有）</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相关部门的批准文件（需经财政部门、国有资产管理部门等相关部门批准的提供）</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2、境外上市公司境内股东持股变更登记申请材料</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hint="eastAsia" w:ascii="Times New Roman" w:hAnsi="Times New Roman" w:eastAsia="仿宋_GB2312" w:cs="Times New Roman"/>
                <w:kern w:val="0"/>
                <w:sz w:val="24"/>
                <w:szCs w:val="24"/>
              </w:rPr>
              <w:t>，并附《境外持股登记表》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ind w:right="31" w:rightChars="15"/>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相关交易真实性证明材料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540" w:lineRule="exact"/>
        <w:ind w:firstLine="600"/>
        <w:rPr>
          <w:rFonts w:ascii="Times New Roman" w:hAnsi="Times New Roman" w:eastAsia="黑体" w:cs="Times New Roman"/>
          <w:sz w:val="30"/>
          <w:szCs w:val="30"/>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40" o:spid="_x0000_s1027" type="#_x0000_t75" style="height:165pt;width:177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ascii="Times New Roman" w:hAnsi="Times New Roman" w:eastAsia="仿宋_GB2312" w:cs="Times New Roman"/>
          <w:sz w:val="30"/>
          <w:szCs w:val="30"/>
        </w:rPr>
      </w:pPr>
    </w:p>
    <w:p>
      <w:pPr>
        <w:rPr>
          <w:rFonts w:ascii="Times New Roman" w:hAnsi="Times New Roman" w:cs="Times New Roman"/>
        </w:rPr>
      </w:pPr>
      <w:bookmarkStart w:id="0" w:name="_Toc485285483"/>
      <w:bookmarkStart w:id="1" w:name="_Toc428779974"/>
      <w:bookmarkStart w:id="2" w:name="_Toc487492186"/>
      <w:bookmarkStart w:id="3" w:name="_Toc492328428"/>
      <w:bookmarkStart w:id="4" w:name="_Toc495992545"/>
    </w:p>
    <w:p>
      <w:pPr>
        <w:ind w:right="300"/>
        <w:rPr>
          <w:rFonts w:ascii="仿宋_GB2312" w:eastAsia="仿宋_GB2312"/>
          <w:sz w:val="30"/>
          <w:szCs w:val="30"/>
        </w:rPr>
      </w:pPr>
      <w:r>
        <w:rPr>
          <w:rFonts w:ascii="Times New Roman" w:hAnsi="Times New Roman" w:cs="Times New Roman"/>
        </w:rPr>
        <w:br w:type="page"/>
      </w: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r>
        <w:rPr>
          <w:rFonts w:ascii="黑体" w:hAnsi="Calibri" w:eastAsia="黑体" w:cs="黑体"/>
          <w:kern w:val="2"/>
          <w:sz w:val="30"/>
          <w:szCs w:val="30"/>
          <w:lang w:val="en-US" w:eastAsia="zh-CN" w:bidi="ar-SA"/>
        </w:rPr>
        <w:pict>
          <v:group id="Group 680" o:spid="_x0000_s1028" style="position:absolute;left:0;margin-left:-21pt;margin-top:14.85pt;height:586.05pt;width:455.05pt;rotation:0f;z-index:251662336;" coordorigin="-180,0" coordsize="9101,11721">
            <o:lock v:ext="edit" position="f" selection="f" grouping="f" rotation="f" cropping="f" text="f" aspectratio="f"/>
            <v:rect id="Rectangle 681"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7" style="position:absolute;left:-180;top:0;height:7693;width:9101;rotation:0f;" coordorigin="-180,0" coordsize="9101,7693">
              <o:lock v:ext="edit" position="f" selection="f" grouping="f" rotation="f" cropping="f" text="f" aspectratio="f"/>
              <v:shape id="AutoShape 690"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9" style="position:absolute;left:-180;top:0;height:7693;width:9101;rotation:0f;" coordorigin="-180,0" coordsize="9101,7693">
                <o:lock v:ext="edit" position="f" selection="f" grouping="f" rotation="f" cropping="f" text="f" aspectratio="f"/>
                <v:shape id="AutoShape 692"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7"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8" style="position:absolute;left:-180;top:0;height:7424;width:4774;rotation:0f;" coordorigin="-180,0" coordsize="4774,7424">
                  <o:lock v:ext="edit" position="f" selection="f" grouping="f" rotation="f" cropping="f" text="f" aspectratio="f"/>
                  <v:shape id="AutoShape 701"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51" style="position:absolute;left:-180;top:0;height:4020;width:3809;rotation:0f;" coordorigin="-180,0" coordsize="3809,4020">
                    <o:lock v:ext="edit" position="f" selection="f" grouping="f" rotation="f" cropping="f" text="f" aspectratio="f"/>
                    <v:shape id="AutoShape 704"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3"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4"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1"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rPr>
          <w:rFonts w:ascii="Times New Roman" w:hAnsi="Times New Roman" w:eastAsia="仿宋_GB2312" w:cs="Times New Roman"/>
          <w:sz w:val="30"/>
          <w:szCs w:val="30"/>
        </w:rPr>
      </w:pPr>
      <w:r>
        <w:rPr>
          <w:rFonts w:ascii="仿宋_GB2312" w:eastAsia="仿宋_GB2312"/>
          <w:sz w:val="30"/>
          <w:szCs w:val="30"/>
        </w:rPr>
        <w:br w:type="page"/>
      </w:r>
      <w:r>
        <w:rPr>
          <w:rFonts w:ascii="Calibri" w:hAnsi="Calibri" w:eastAsia="宋体" w:cs="Times New Roman"/>
          <w:kern w:val="2"/>
          <w:sz w:val="21"/>
          <w:szCs w:val="22"/>
          <w:lang w:val="en-US" w:eastAsia="zh-CN" w:bidi="ar-SA"/>
        </w:rPr>
        <w:pict>
          <v:roundrect id="AutoShape 667" o:spid="_x0000_s1062" style="position:absolute;left:0;margin-left:202.4pt;margin-top:277.65pt;height:71.35pt;width:180.85pt;rotation:0f;z-index:251661312;"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二</w:t>
      </w:r>
    </w:p>
    <w:p>
      <w:pPr>
        <w:tabs>
          <w:tab w:val="left" w:pos="8306"/>
        </w:tabs>
        <w:ind w:right="84"/>
        <w:jc w:val="center"/>
        <w:rPr>
          <w:rFonts w:ascii="Times New Roman" w:hAnsi="Times New Roman" w:eastAsia="黑体" w:cs="Times New Roman"/>
          <w:sz w:val="30"/>
          <w:szCs w:val="30"/>
        </w:rPr>
      </w:pPr>
      <w:r>
        <w:rPr>
          <w:rFonts w:ascii="Times New Roman" w:hAnsi="Times New Roman" w:eastAsia="黑体" w:cs="Times New Roman"/>
          <w:sz w:val="30"/>
          <w:szCs w:val="30"/>
        </w:rPr>
        <w:t>境外持股登记表</w:t>
      </w:r>
      <w:bookmarkEnd w:id="0"/>
      <w:bookmarkEnd w:id="1"/>
      <w:bookmarkEnd w:id="2"/>
      <w:bookmarkEnd w:id="3"/>
      <w:bookmarkEnd w:id="4"/>
      <w:r>
        <w:rPr>
          <w:rFonts w:ascii="Times New Roman" w:hAnsi="Times New Roman" w:eastAsia="黑体" w:cs="Times New Roman"/>
          <w:sz w:val="30"/>
          <w:szCs w:val="30"/>
        </w:rPr>
        <w:t>（示范文本）</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三</w:t>
      </w:r>
    </w:p>
    <w:p>
      <w:pPr>
        <w:jc w:val="center"/>
        <w:rPr>
          <w:rFonts w:ascii="Times New Roman" w:hAnsi="Times New Roman" w:eastAsia="黑体" w:cs="Times New Roman"/>
          <w:sz w:val="30"/>
          <w:szCs w:val="30"/>
          <w:highlight w:val="yellow"/>
        </w:rPr>
      </w:pPr>
      <w:r>
        <w:rPr>
          <w:rFonts w:ascii="Times New Roman" w:hAnsi="Times New Roman" w:eastAsia="黑体" w:cs="Times New Roman"/>
          <w:sz w:val="30"/>
          <w:szCs w:val="30"/>
        </w:rPr>
        <w:t>境外持股登记表（错误示例）</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rect id="矩形 192" o:spid="_x0000_s1063" style="position:absolute;left:0;margin-left:-66.15pt;margin-top:21.1pt;height:91.5pt;width:59.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此处填写金额不能为空</w:t>
                        </w:r>
                      </w:p>
                    </w:txbxContent>
                  </v:textbox>
                </v:rect>
              </w:pict>
            </w:r>
            <w:r>
              <w:rPr>
                <w:rFonts w:ascii="Times New Roman" w:hAnsi="Times New Roman" w:eastAsia="华文楷体" w:cs="Times New Roman"/>
                <w:kern w:val="2"/>
                <w:sz w:val="24"/>
                <w:szCs w:val="22"/>
                <w:lang w:val="en-US" w:eastAsia="zh-CN" w:bidi="ar-SA"/>
              </w:rPr>
              <w:pict>
                <v:shape id="直接箭头连接符 191" o:spid="_x0000_s1064" type="#_x0000_t32" style="position:absolute;left:0;flip:x;margin-left:-7.1pt;margin-top:70.1pt;height:4.95pt;width:6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shape id="椭圆 190" o:spid="_x0000_s1065" type="#_x0000_t3" style="position:absolute;left:0;margin-left:17.25pt;margin-top:26.9pt;height:36pt;width:62.2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24"/>
        <w:ind w:firstLine="600"/>
        <w:rPr>
          <w:rFonts w:ascii="Times New Roman" w:hAnsi="Times New Roman" w:eastAsia="仿宋_GB2312"/>
          <w:kern w:val="0"/>
          <w:sz w:val="30"/>
          <w:szCs w:val="30"/>
        </w:rPr>
      </w:pPr>
      <w:r>
        <w:rPr>
          <w:rFonts w:ascii="Times New Roman" w:hAnsi="Times New Roman" w:eastAsia="仿宋_GB2312"/>
          <w:kern w:val="0"/>
          <w:sz w:val="30"/>
          <w:szCs w:val="30"/>
        </w:rPr>
        <w:t xml:space="preserve">问：境外上市公司的境内股东针对其增持、减持或转让境外上市公司股份等业务，在境内银行开立什么专户，办理相关业务的资金汇兑与划转？                 </w:t>
      </w:r>
    </w:p>
    <w:p>
      <w:pPr>
        <w:pStyle w:val="24"/>
        <w:ind w:firstLine="600"/>
        <w:rPr>
          <w:rFonts w:ascii="Times New Roman" w:hAnsi="Times New Roman" w:eastAsia="仿宋_GB2312"/>
          <w:kern w:val="0"/>
          <w:sz w:val="30"/>
          <w:szCs w:val="30"/>
        </w:rPr>
      </w:pPr>
      <w:r>
        <w:rPr>
          <w:rFonts w:ascii="Times New Roman" w:hAnsi="Times New Roman" w:eastAsia="仿宋_GB2312"/>
          <w:kern w:val="0"/>
          <w:sz w:val="30"/>
          <w:szCs w:val="30"/>
        </w:rPr>
        <w:t>答：境外上市公司的境内股东应当凭境外持股业务登记凭证，针对其增持、减持或转让境外上市公司股份等业务，在境内银行开立资本项目—居民境外证券与衍生品账户（账户代码为2403），办理相关业务的资金汇兑与划转。</w:t>
      </w:r>
    </w:p>
    <w:p>
      <w:pPr>
        <w:rPr>
          <w:rFonts w:ascii="Times New Roman" w:hAnsi="Times New Roman" w:eastAsia="仿宋_GB2312" w:cs="Times New Roman"/>
          <w:kern w:val="0"/>
          <w:sz w:val="30"/>
          <w:szCs w:val="30"/>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num w:numId="1">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6926"/>
    <w:rsid w:val="000D7478"/>
    <w:rsid w:val="000F70D4"/>
    <w:rsid w:val="0012267E"/>
    <w:rsid w:val="0012271F"/>
    <w:rsid w:val="00130519"/>
    <w:rsid w:val="00131565"/>
    <w:rsid w:val="00135BEE"/>
    <w:rsid w:val="0014667A"/>
    <w:rsid w:val="00154B58"/>
    <w:rsid w:val="00157C64"/>
    <w:rsid w:val="00157E81"/>
    <w:rsid w:val="00170126"/>
    <w:rsid w:val="00177059"/>
    <w:rsid w:val="00177D41"/>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2EA9"/>
    <w:rsid w:val="00253F7B"/>
    <w:rsid w:val="00263B1F"/>
    <w:rsid w:val="00276F39"/>
    <w:rsid w:val="00291C17"/>
    <w:rsid w:val="0029313A"/>
    <w:rsid w:val="002B0B1C"/>
    <w:rsid w:val="002B598D"/>
    <w:rsid w:val="002B61C1"/>
    <w:rsid w:val="002E1323"/>
    <w:rsid w:val="002E4F44"/>
    <w:rsid w:val="002F3868"/>
    <w:rsid w:val="002F4243"/>
    <w:rsid w:val="00302119"/>
    <w:rsid w:val="00302E87"/>
    <w:rsid w:val="0030707B"/>
    <w:rsid w:val="00310261"/>
    <w:rsid w:val="0031289E"/>
    <w:rsid w:val="00317879"/>
    <w:rsid w:val="00343044"/>
    <w:rsid w:val="00344B01"/>
    <w:rsid w:val="003467FF"/>
    <w:rsid w:val="00353AC4"/>
    <w:rsid w:val="003616B4"/>
    <w:rsid w:val="0037314C"/>
    <w:rsid w:val="0037756E"/>
    <w:rsid w:val="003A21CD"/>
    <w:rsid w:val="003A4738"/>
    <w:rsid w:val="003A57B2"/>
    <w:rsid w:val="003C7132"/>
    <w:rsid w:val="003D77A5"/>
    <w:rsid w:val="003E627D"/>
    <w:rsid w:val="003E6BF6"/>
    <w:rsid w:val="003E6DB2"/>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67DF"/>
    <w:rsid w:val="00493CCC"/>
    <w:rsid w:val="004A0218"/>
    <w:rsid w:val="004A7840"/>
    <w:rsid w:val="004B545A"/>
    <w:rsid w:val="004B7E80"/>
    <w:rsid w:val="004C457E"/>
    <w:rsid w:val="004C48D5"/>
    <w:rsid w:val="004C4965"/>
    <w:rsid w:val="004D03B7"/>
    <w:rsid w:val="004D1436"/>
    <w:rsid w:val="004D57AE"/>
    <w:rsid w:val="004F59B4"/>
    <w:rsid w:val="005056D4"/>
    <w:rsid w:val="00515263"/>
    <w:rsid w:val="00526B2B"/>
    <w:rsid w:val="005362B0"/>
    <w:rsid w:val="00542447"/>
    <w:rsid w:val="00557FD0"/>
    <w:rsid w:val="00564312"/>
    <w:rsid w:val="0059362C"/>
    <w:rsid w:val="005A177F"/>
    <w:rsid w:val="005A2981"/>
    <w:rsid w:val="005B55AD"/>
    <w:rsid w:val="005C5659"/>
    <w:rsid w:val="005C6937"/>
    <w:rsid w:val="005C7F02"/>
    <w:rsid w:val="005D1C27"/>
    <w:rsid w:val="005E1C0F"/>
    <w:rsid w:val="005F0A86"/>
    <w:rsid w:val="005F144A"/>
    <w:rsid w:val="005F1C00"/>
    <w:rsid w:val="005F62C1"/>
    <w:rsid w:val="0061621E"/>
    <w:rsid w:val="00630AA8"/>
    <w:rsid w:val="00630B2E"/>
    <w:rsid w:val="00643D2A"/>
    <w:rsid w:val="00664E11"/>
    <w:rsid w:val="006674AC"/>
    <w:rsid w:val="00673B30"/>
    <w:rsid w:val="00696E5D"/>
    <w:rsid w:val="006B5B86"/>
    <w:rsid w:val="006C5908"/>
    <w:rsid w:val="006C633E"/>
    <w:rsid w:val="006D2FD6"/>
    <w:rsid w:val="006D462A"/>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15A3"/>
    <w:rsid w:val="00785F45"/>
    <w:rsid w:val="007904A0"/>
    <w:rsid w:val="007A2780"/>
    <w:rsid w:val="007A68EA"/>
    <w:rsid w:val="007B06FC"/>
    <w:rsid w:val="007B0FEF"/>
    <w:rsid w:val="007B2DB5"/>
    <w:rsid w:val="007D2C11"/>
    <w:rsid w:val="007D6171"/>
    <w:rsid w:val="007D69EA"/>
    <w:rsid w:val="007E2C7B"/>
    <w:rsid w:val="007E411B"/>
    <w:rsid w:val="007F0863"/>
    <w:rsid w:val="007F2F3B"/>
    <w:rsid w:val="00802307"/>
    <w:rsid w:val="00815491"/>
    <w:rsid w:val="0082168E"/>
    <w:rsid w:val="00821968"/>
    <w:rsid w:val="00837CA6"/>
    <w:rsid w:val="008471B6"/>
    <w:rsid w:val="00851521"/>
    <w:rsid w:val="0085686A"/>
    <w:rsid w:val="00860878"/>
    <w:rsid w:val="008731FF"/>
    <w:rsid w:val="0088294A"/>
    <w:rsid w:val="0089282A"/>
    <w:rsid w:val="008A37C7"/>
    <w:rsid w:val="008A4538"/>
    <w:rsid w:val="008A704B"/>
    <w:rsid w:val="008B08D2"/>
    <w:rsid w:val="008B4EE5"/>
    <w:rsid w:val="008B5807"/>
    <w:rsid w:val="008D5FA0"/>
    <w:rsid w:val="008E2D38"/>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64BC"/>
    <w:rsid w:val="009766BB"/>
    <w:rsid w:val="00980F02"/>
    <w:rsid w:val="009903F9"/>
    <w:rsid w:val="00991B77"/>
    <w:rsid w:val="0099225C"/>
    <w:rsid w:val="00997523"/>
    <w:rsid w:val="009A0C5D"/>
    <w:rsid w:val="009B69A7"/>
    <w:rsid w:val="009C4672"/>
    <w:rsid w:val="009C491B"/>
    <w:rsid w:val="009D0911"/>
    <w:rsid w:val="009D24F8"/>
    <w:rsid w:val="009D688C"/>
    <w:rsid w:val="009F7A36"/>
    <w:rsid w:val="00A00C5C"/>
    <w:rsid w:val="00A249C2"/>
    <w:rsid w:val="00A24FAB"/>
    <w:rsid w:val="00A26D7A"/>
    <w:rsid w:val="00A301E7"/>
    <w:rsid w:val="00A40838"/>
    <w:rsid w:val="00A42E69"/>
    <w:rsid w:val="00A45CA7"/>
    <w:rsid w:val="00A51415"/>
    <w:rsid w:val="00A6014E"/>
    <w:rsid w:val="00A60356"/>
    <w:rsid w:val="00A71B3E"/>
    <w:rsid w:val="00A81DF1"/>
    <w:rsid w:val="00A90EF3"/>
    <w:rsid w:val="00A95830"/>
    <w:rsid w:val="00AA7717"/>
    <w:rsid w:val="00AB131E"/>
    <w:rsid w:val="00AB142C"/>
    <w:rsid w:val="00AB644F"/>
    <w:rsid w:val="00AC3F5E"/>
    <w:rsid w:val="00AE0390"/>
    <w:rsid w:val="00AE416D"/>
    <w:rsid w:val="00AE7ACF"/>
    <w:rsid w:val="00B054BC"/>
    <w:rsid w:val="00B06409"/>
    <w:rsid w:val="00B17D66"/>
    <w:rsid w:val="00B35D3A"/>
    <w:rsid w:val="00B422F1"/>
    <w:rsid w:val="00B71531"/>
    <w:rsid w:val="00B730D9"/>
    <w:rsid w:val="00B7456C"/>
    <w:rsid w:val="00B84131"/>
    <w:rsid w:val="00B8630E"/>
    <w:rsid w:val="00B931F4"/>
    <w:rsid w:val="00B95573"/>
    <w:rsid w:val="00B96395"/>
    <w:rsid w:val="00BA2AF8"/>
    <w:rsid w:val="00BB2650"/>
    <w:rsid w:val="00BB5BDC"/>
    <w:rsid w:val="00BB7B76"/>
    <w:rsid w:val="00BD233D"/>
    <w:rsid w:val="00BD5789"/>
    <w:rsid w:val="00BF039C"/>
    <w:rsid w:val="00BF4EF0"/>
    <w:rsid w:val="00C02E44"/>
    <w:rsid w:val="00C147D2"/>
    <w:rsid w:val="00C2075F"/>
    <w:rsid w:val="00C23799"/>
    <w:rsid w:val="00C274C9"/>
    <w:rsid w:val="00C31E02"/>
    <w:rsid w:val="00C32823"/>
    <w:rsid w:val="00C34BC8"/>
    <w:rsid w:val="00C54291"/>
    <w:rsid w:val="00C65F28"/>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6C8"/>
    <w:rsid w:val="00D01626"/>
    <w:rsid w:val="00D022CC"/>
    <w:rsid w:val="00D33A4D"/>
    <w:rsid w:val="00D33F76"/>
    <w:rsid w:val="00D41F5E"/>
    <w:rsid w:val="00D43DC0"/>
    <w:rsid w:val="00D47486"/>
    <w:rsid w:val="00D54E56"/>
    <w:rsid w:val="00D634A9"/>
    <w:rsid w:val="00D6407D"/>
    <w:rsid w:val="00D67CAC"/>
    <w:rsid w:val="00D754EE"/>
    <w:rsid w:val="00D93E78"/>
    <w:rsid w:val="00D9684F"/>
    <w:rsid w:val="00DB304F"/>
    <w:rsid w:val="00DC6E91"/>
    <w:rsid w:val="00DC700C"/>
    <w:rsid w:val="00DC7514"/>
    <w:rsid w:val="00DD3845"/>
    <w:rsid w:val="00E002F1"/>
    <w:rsid w:val="00E1687A"/>
    <w:rsid w:val="00E20A2E"/>
    <w:rsid w:val="00E2573A"/>
    <w:rsid w:val="00E277DE"/>
    <w:rsid w:val="00E27EE9"/>
    <w:rsid w:val="00E3239D"/>
    <w:rsid w:val="00E3439B"/>
    <w:rsid w:val="00E42C5F"/>
    <w:rsid w:val="00E45CCF"/>
    <w:rsid w:val="00E65A1B"/>
    <w:rsid w:val="00E72F1F"/>
    <w:rsid w:val="00E83051"/>
    <w:rsid w:val="00E934AB"/>
    <w:rsid w:val="00E97B71"/>
    <w:rsid w:val="00EA06AC"/>
    <w:rsid w:val="00EA08BF"/>
    <w:rsid w:val="00EA24FB"/>
    <w:rsid w:val="00EB0A09"/>
    <w:rsid w:val="00EB3204"/>
    <w:rsid w:val="00EB50BA"/>
    <w:rsid w:val="00EC1EE6"/>
    <w:rsid w:val="00EC3D33"/>
    <w:rsid w:val="00ED302A"/>
    <w:rsid w:val="00ED3A42"/>
    <w:rsid w:val="00EE02BC"/>
    <w:rsid w:val="00EE6970"/>
    <w:rsid w:val="00EF38D0"/>
    <w:rsid w:val="00EF3DDF"/>
    <w:rsid w:val="00EF4A8C"/>
    <w:rsid w:val="00F2678C"/>
    <w:rsid w:val="00F27B38"/>
    <w:rsid w:val="00F321F0"/>
    <w:rsid w:val="00F40278"/>
    <w:rsid w:val="00F41832"/>
    <w:rsid w:val="00F41ABD"/>
    <w:rsid w:val="00F504AF"/>
    <w:rsid w:val="00F54278"/>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6D3"/>
    <w:rsid w:val="00FE3157"/>
    <w:rsid w:val="00FE6865"/>
    <w:rsid w:val="00FE6993"/>
    <w:rsid w:val="18EF2748"/>
    <w:rsid w:val="3377484B"/>
    <w:rsid w:val="34466F76"/>
    <w:rsid w:val="3B0551DB"/>
    <w:rsid w:val="458E4994"/>
    <w:rsid w:val="65BB1144"/>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668</Words>
  <Characters>3809</Characters>
  <Lines>31</Lines>
  <Paragraphs>8</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2020-08-25T01:23:00Z</dcterms:created>
  <dc:creator>裴建君2</dc:creator>
  <cp:lastModifiedBy>孙保民</cp:lastModifiedBy>
  <cp:lastPrinted>2017-11-24T00:22:00Z</cp:lastPrinted>
  <dcterms:modified xsi:type="dcterms:W3CDTF">2021-02-07T07:48:22Z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