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7</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lang w:val="en-US" w:eastAsia="zh-CN"/>
        </w:rPr>
        <w:t>2</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8</w:t>
      </w:r>
      <w:bookmarkStart w:id="2" w:name="_GoBack"/>
      <w:bookmarkEnd w:id="2"/>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发布机构：国家外汇管理局</w:t>
      </w:r>
      <w:r>
        <w:rPr>
          <w:rFonts w:hint="eastAsia" w:ascii="Times New Roman" w:hAnsi="Times New Roman" w:eastAsia="仿宋_GB2312" w:cs="Times New Roman"/>
          <w:sz w:val="30"/>
          <w:szCs w:val="30"/>
          <w:lang w:eastAsia="zh-CN"/>
        </w:rPr>
        <w:t>青海省分局</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四、</w:t>
      </w:r>
      <w:r>
        <w:rPr>
          <w:rFonts w:hint="eastAsia" w:ascii="Times New Roman" w:hAnsi="Times New Roman" w:eastAsia="黑体" w:cs="Times New Roman"/>
          <w:sz w:val="30"/>
          <w:szCs w:val="30"/>
        </w:rPr>
        <w:t>银行人民币结构性存款业务外汇登记</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办理登记的银行已经银行业监督管理部门批准获得开办衍生品交易业务资格。</w:t>
      </w:r>
    </w:p>
    <w:p>
      <w:pPr>
        <w:pStyle w:val="24"/>
        <w:adjustRightInd w:val="0"/>
        <w:snapToGrid w:val="0"/>
        <w:spacing w:line="360" w:lineRule="auto"/>
        <w:ind w:firstLine="600"/>
        <w:rPr>
          <w:rFonts w:ascii="Times New Roman" w:hAnsi="Times New Roman" w:eastAsia="仿宋_GB2312"/>
          <w:sz w:val="30"/>
          <w:szCs w:val="30"/>
        </w:rPr>
      </w:pPr>
      <w:r>
        <w:rPr>
          <w:rFonts w:ascii="Times New Roman" w:hAnsi="Times New Roman" w:eastAsia="仿宋_GB2312"/>
          <w:sz w:val="30"/>
          <w:szCs w:val="30"/>
        </w:rPr>
        <w:t>禁止性要求：如符合上述条件，不存在不予许可的情况。</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（六）申请材料</w:t>
      </w:r>
    </w:p>
    <w:tbl>
      <w:tblPr>
        <w:tblStyle w:val="17"/>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3968"/>
        <w:gridCol w:w="992"/>
        <w:gridCol w:w="457"/>
        <w:gridCol w:w="961"/>
        <w:gridCol w:w="457"/>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8"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61"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457"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154" w:type="dxa"/>
            <w:vAlign w:val="center"/>
          </w:tcPr>
          <w:p>
            <w:pP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8"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书面申请，并附《商业银行人民币结构性存款业务外汇登记申请表》</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w:t>
            </w:r>
          </w:p>
        </w:tc>
        <w:tc>
          <w:tcPr>
            <w:tcW w:w="45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vAlign w:val="center"/>
          </w:tcPr>
          <w:p>
            <w:pPr>
              <w:rPr>
                <w:rFonts w:ascii="Times New Roman" w:hAnsi="Times New Roman" w:eastAsia="仿宋_GB2312" w:cs="Times New Roman"/>
                <w:sz w:val="24"/>
                <w:szCs w:val="24"/>
              </w:rPr>
            </w:pPr>
          </w:p>
        </w:tc>
        <w:tc>
          <w:tcPr>
            <w:tcW w:w="1154"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trPr>
        <w:tc>
          <w:tcPr>
            <w:tcW w:w="53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8"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银行业监督管理部门同意其开办衍生产品交易业务的批准文件</w:t>
            </w:r>
          </w:p>
        </w:tc>
        <w:tc>
          <w:tcPr>
            <w:tcW w:w="992"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6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457"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p>
        </w:tc>
        <w:tc>
          <w:tcPr>
            <w:tcW w:w="115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numPr>
          <w:ilvl w:val="0"/>
          <w:numId w:val="1"/>
        </w:num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咨询途径、监督和投诉、办公地址和时间、公开查询方式</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ascii="Times New Roman" w:hAnsi="Times New Roman" w:eastAsia="仿宋_GB2312" w:cs="Times New Roman"/>
          <w:sz w:val="30"/>
          <w:szCs w:val="30"/>
          <w:lang w:val="en-US" w:eastAsia="zh-CN"/>
        </w:rPr>
        <w:t>青海省分局：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办公地址：青海省西宁市昆仑路3号，中国人民银行西宁中心支行综合办公楼</w:t>
      </w:r>
      <w:r>
        <w:rPr>
          <w:rFonts w:hint="default" w:ascii="Times New Roman" w:hAnsi="Times New Roman" w:eastAsia="仿宋_GB2312" w:cs="Times New Roman"/>
          <w:sz w:val="30"/>
          <w:szCs w:val="30"/>
          <w:lang w:val="en-US" w:eastAsia="zh-CN"/>
        </w:rPr>
        <w:t>15</w:t>
      </w:r>
      <w:r>
        <w:rPr>
          <w:rFonts w:hint="eastAsia" w:ascii="Times New Roman" w:hAnsi="Times New Roman" w:eastAsia="仿宋_GB2312" w:cs="Times New Roman"/>
          <w:sz w:val="30"/>
          <w:szCs w:val="30"/>
          <w:lang w:val="en-US" w:eastAsia="zh-CN"/>
        </w:rPr>
        <w:t>12室。</w:t>
      </w:r>
    </w:p>
    <w:p>
      <w:pPr>
        <w:adjustRightInd w:val="0"/>
        <w:snapToGrid w:val="0"/>
        <w:spacing w:line="360" w:lineRule="auto"/>
        <w:ind w:firstLine="600"/>
        <w:rPr>
          <w:rFonts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w:t>
      </w:r>
      <w:r>
        <w:rPr>
          <w:rFonts w:hint="eastAsia" w:ascii="Times New Roman" w:hAnsi="Times New Roman" w:eastAsia="仿宋_GB2312" w:cs="Times New Roman"/>
          <w:sz w:val="30"/>
          <w:szCs w:val="30"/>
          <w:lang w:val="en-US" w:eastAsia="zh-CN"/>
        </w:rPr>
        <w:t>170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0971</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6126148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海东市中心支局：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办公地址：青海省海东市平安区乐都路</w:t>
      </w:r>
      <w:r>
        <w:rPr>
          <w:rFonts w:hint="default" w:ascii="Times New Roman" w:hAnsi="Times New Roman" w:eastAsia="仿宋_GB2312" w:cs="Times New Roman"/>
          <w:sz w:val="30"/>
          <w:szCs w:val="30"/>
          <w:lang w:val="en-US" w:eastAsia="zh-CN"/>
        </w:rPr>
        <w:t>3</w:t>
      </w:r>
      <w:r>
        <w:rPr>
          <w:rFonts w:hint="eastAsia" w:ascii="Times New Roman" w:hAnsi="Times New Roman" w:eastAsia="仿宋_GB2312" w:cs="Times New Roman"/>
          <w:sz w:val="30"/>
          <w:szCs w:val="30"/>
          <w:lang w:val="en-US" w:eastAsia="zh-CN"/>
        </w:rPr>
        <w:t>号，中国人民银行海东市中心支行综合楼</w:t>
      </w:r>
      <w:r>
        <w:rPr>
          <w:rFonts w:hint="default" w:ascii="Times New Roman" w:hAnsi="Times New Roman" w:eastAsia="仿宋_GB2312" w:cs="Times New Roman"/>
          <w:sz w:val="30"/>
          <w:szCs w:val="30"/>
          <w:lang w:val="en-US" w:eastAsia="zh-CN"/>
        </w:rPr>
        <w:t>4</w:t>
      </w:r>
      <w:r>
        <w:rPr>
          <w:rFonts w:hint="eastAsia" w:ascii="Times New Roman" w:hAnsi="Times New Roman" w:eastAsia="仿宋_GB2312" w:cs="Times New Roman"/>
          <w:sz w:val="30"/>
          <w:szCs w:val="30"/>
          <w:lang w:val="en-US" w:eastAsia="zh-CN"/>
        </w:rPr>
        <w:t>楼外汇管理科。</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8:30-12:00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8685145</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0972</w:t>
      </w:r>
      <w:r>
        <w:rPr>
          <w:rFonts w:hint="eastAsia" w:ascii="Times New Roman" w:hAnsi="Times New Roman" w:eastAsia="仿宋_GB2312" w:cs="Times New Roman"/>
          <w:sz w:val="30"/>
          <w:szCs w:val="30"/>
          <w:lang w:val="en-US" w:eastAsia="zh-CN"/>
        </w:rPr>
        <w:t>—8687008</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海西州中心支局：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办公地址：青海省海西州德令哈市长江路</w:t>
      </w:r>
      <w:r>
        <w:rPr>
          <w:rFonts w:hint="default" w:ascii="Times New Roman" w:hAnsi="Times New Roman" w:eastAsia="仿宋_GB2312" w:cs="Times New Roman"/>
          <w:sz w:val="30"/>
          <w:szCs w:val="30"/>
          <w:lang w:val="en-US" w:eastAsia="zh-CN"/>
        </w:rPr>
        <w:t>18</w:t>
      </w:r>
      <w:r>
        <w:rPr>
          <w:rFonts w:hint="eastAsia" w:ascii="Times New Roman" w:hAnsi="Times New Roman" w:eastAsia="仿宋_GB2312" w:cs="Times New Roman"/>
          <w:sz w:val="30"/>
          <w:szCs w:val="30"/>
          <w:lang w:val="en-US" w:eastAsia="zh-CN"/>
        </w:rPr>
        <w:t>号，中国人民银行海西州中心支行</w:t>
      </w:r>
      <w:r>
        <w:rPr>
          <w:rFonts w:hint="default" w:ascii="Times New Roman" w:hAnsi="Times New Roman" w:eastAsia="仿宋_GB2312" w:cs="Times New Roman"/>
          <w:sz w:val="30"/>
          <w:szCs w:val="30"/>
          <w:lang w:val="en-US" w:eastAsia="zh-CN"/>
        </w:rPr>
        <w:t>410</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8205400</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0977</w:t>
      </w:r>
      <w:r>
        <w:rPr>
          <w:rFonts w:hint="eastAsia" w:ascii="Times New Roman" w:hAnsi="Times New Roman" w:eastAsia="仿宋_GB2312" w:cs="Times New Roman"/>
          <w:sz w:val="30"/>
          <w:szCs w:val="30"/>
          <w:lang w:val="en-US" w:eastAsia="zh-CN"/>
        </w:rPr>
        <w:t>—8220412</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格尔木市支局：</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办公地址：青海省海西蒙古族藏族自治州格尔木市柴达木中路</w:t>
      </w:r>
      <w:r>
        <w:rPr>
          <w:rFonts w:hint="default" w:ascii="Times New Roman" w:hAnsi="Times New Roman" w:eastAsia="仿宋_GB2312" w:cs="Times New Roman"/>
          <w:sz w:val="30"/>
          <w:szCs w:val="30"/>
          <w:lang w:val="en-US" w:eastAsia="zh-CN"/>
        </w:rPr>
        <w:t>20</w:t>
      </w:r>
      <w:r>
        <w:rPr>
          <w:rFonts w:hint="eastAsia" w:ascii="Times New Roman" w:hAnsi="Times New Roman" w:eastAsia="仿宋_GB2312" w:cs="Times New Roman"/>
          <w:sz w:val="30"/>
          <w:szCs w:val="30"/>
          <w:lang w:val="en-US" w:eastAsia="zh-CN"/>
        </w:rPr>
        <w:t>号，中国人民银行格尔木市支行</w:t>
      </w:r>
      <w:r>
        <w:rPr>
          <w:rFonts w:hint="default" w:ascii="Times New Roman" w:hAnsi="Times New Roman" w:eastAsia="仿宋_GB2312" w:cs="Times New Roman"/>
          <w:sz w:val="30"/>
          <w:szCs w:val="30"/>
          <w:lang w:val="en-US" w:eastAsia="zh-CN"/>
        </w:rPr>
        <w:t>406</w:t>
      </w:r>
      <w:r>
        <w:rPr>
          <w:rFonts w:hint="eastAsia" w:ascii="Times New Roman" w:hAnsi="Times New Roman" w:eastAsia="仿宋_GB2312" w:cs="Times New Roman"/>
          <w:sz w:val="30"/>
          <w:szCs w:val="30"/>
          <w:lang w:val="en-US" w:eastAsia="zh-CN"/>
        </w:rPr>
        <w:t>室。</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时间：工作日时间。上午：</w:t>
      </w:r>
      <w:r>
        <w:rPr>
          <w:rFonts w:hint="default" w:ascii="Times New Roman" w:hAnsi="Times New Roman" w:eastAsia="仿宋_GB2312" w:cs="Times New Roman"/>
          <w:sz w:val="30"/>
          <w:szCs w:val="30"/>
          <w:lang w:val="en-US" w:eastAsia="zh-CN"/>
        </w:rPr>
        <w:t>8:30-11:30</w:t>
      </w:r>
      <w:r>
        <w:rPr>
          <w:rFonts w:hint="eastAsia" w:ascii="Times New Roman" w:hAnsi="Times New Roman" w:eastAsia="仿宋_GB2312" w:cs="Times New Roman"/>
          <w:sz w:val="30"/>
          <w:szCs w:val="30"/>
          <w:lang w:val="en-US" w:eastAsia="zh-CN"/>
        </w:rPr>
        <w:t>；下午：</w:t>
      </w:r>
      <w:r>
        <w:rPr>
          <w:rFonts w:hint="default" w:ascii="Times New Roman" w:hAnsi="Times New Roman" w:eastAsia="仿宋_GB2312" w:cs="Times New Roman"/>
          <w:sz w:val="30"/>
          <w:szCs w:val="30"/>
          <w:lang w:val="en-US" w:eastAsia="zh-CN"/>
        </w:rPr>
        <w:t>14:00-17:30</w:t>
      </w:r>
      <w:r>
        <w:rPr>
          <w:rFonts w:hint="eastAsia" w:ascii="Times New Roman" w:hAnsi="Times New Roman" w:eastAsia="仿宋_GB2312" w:cs="Times New Roman"/>
          <w:sz w:val="30"/>
          <w:szCs w:val="30"/>
          <w:lang w:val="en-US" w:eastAsia="zh-CN"/>
        </w:rPr>
        <w:t>。</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咨询电话：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8418430</w:t>
      </w:r>
    </w:p>
    <w:p>
      <w:pPr>
        <w:adjustRightInd w:val="0"/>
        <w:snapToGrid w:val="0"/>
        <w:spacing w:line="360" w:lineRule="auto"/>
        <w:ind w:firstLine="600"/>
        <w:rPr>
          <w:rFonts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监督和投诉电话：</w:t>
      </w:r>
      <w:r>
        <w:rPr>
          <w:rFonts w:hint="default" w:ascii="Times New Roman" w:hAnsi="Times New Roman" w:eastAsia="仿宋_GB2312" w:cs="Times New Roman"/>
          <w:sz w:val="30"/>
          <w:szCs w:val="30"/>
          <w:lang w:val="en-US" w:eastAsia="zh-CN"/>
        </w:rPr>
        <w:t>0979</w:t>
      </w:r>
      <w:r>
        <w:rPr>
          <w:rFonts w:hint="eastAsia" w:ascii="Times New Roman" w:hAnsi="Times New Roman" w:eastAsia="仿宋_GB2312" w:cs="Times New Roman"/>
          <w:sz w:val="30"/>
          <w:szCs w:val="30"/>
          <w:lang w:val="en-US" w:eastAsia="zh-CN"/>
        </w:rPr>
        <w:t>—</w:t>
      </w:r>
      <w:r>
        <w:rPr>
          <w:rFonts w:hint="default" w:ascii="Times New Roman" w:hAnsi="Times New Roman" w:eastAsia="仿宋_GB2312" w:cs="Times New Roman"/>
          <w:sz w:val="30"/>
          <w:szCs w:val="30"/>
          <w:lang w:val="en-US" w:eastAsia="zh-CN"/>
        </w:rPr>
        <w:t>841</w:t>
      </w:r>
      <w:r>
        <w:rPr>
          <w:rFonts w:hint="eastAsia" w:ascii="Times New Roman" w:hAnsi="Times New Roman" w:eastAsia="仿宋_GB2312" w:cs="Times New Roman"/>
          <w:sz w:val="30"/>
          <w:szCs w:val="30"/>
          <w:lang w:val="en-US" w:eastAsia="zh-CN"/>
        </w:rPr>
        <w:t>2176</w:t>
      </w:r>
      <w:r>
        <w:rPr>
          <w:rFonts w:hint="default" w:ascii="Times New Roman" w:hAnsi="Times New Roman" w:eastAsia="仿宋_GB2312" w:cs="Times New Roman"/>
          <w:sz w:val="30"/>
          <w:szCs w:val="30"/>
          <w:lang w:val="en-US" w:eastAsia="zh-CN"/>
        </w:rPr>
        <w:t>8</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向各地外汇局进行咨询、进程查询、监督和投诉等可通过各地外汇局官方互联网站</w:t>
      </w:r>
      <w:r>
        <w:rPr>
          <w:rFonts w:hint="eastAsia" w:ascii="Times New Roman" w:hAnsi="Times New Roman" w:eastAsia="仿宋_GB2312" w:cs="Times New Roman"/>
          <w:sz w:val="30"/>
          <w:szCs w:val="30"/>
          <w:lang w:val="en-US" w:eastAsia="zh-CN"/>
        </w:rPr>
        <w:t>咨询反馈功能</w:t>
      </w:r>
      <w:r>
        <w:rPr>
          <w:rFonts w:hint="default" w:ascii="Times New Roman" w:hAnsi="Times New Roman" w:eastAsia="仿宋_GB2312" w:cs="Times New Roman"/>
          <w:sz w:val="30"/>
          <w:szCs w:val="30"/>
          <w:lang w:val="en-US" w:eastAsia="zh-CN"/>
        </w:rPr>
        <w:t>进行。</w:t>
      </w:r>
      <w:r>
        <w:rPr>
          <w:rFonts w:hint="eastAsia" w:ascii="Times New Roman" w:hAnsi="Times New Roman" w:eastAsia="仿宋_GB2312" w:cs="Times New Roman"/>
          <w:sz w:val="30"/>
          <w:szCs w:val="30"/>
          <w:lang w:val="en-US" w:eastAsia="zh-CN"/>
        </w:rPr>
        <w:t>青海省分局互联网站网址：www.sa</w:t>
      </w:r>
      <w:r>
        <w:rPr>
          <w:rFonts w:ascii="Times New Roman" w:hAnsi="Times New Roman" w:eastAsia="仿宋_GB2312" w:cs="Times New Roman"/>
          <w:sz w:val="30"/>
          <w:szCs w:val="30"/>
          <w:lang w:val="en-US" w:eastAsia="zh-CN"/>
        </w:rPr>
        <w:t>青海省分局：</w:t>
      </w:r>
      <w:r>
        <w:rPr>
          <w:rFonts w:hint="eastAsia" w:ascii="Times New Roman" w:hAnsi="Times New Roman" w:eastAsia="仿宋_GB2312" w:cs="Times New Roman"/>
          <w:sz w:val="30"/>
          <w:szCs w:val="30"/>
          <w:lang w:val="en-US" w:eastAsia="zh-CN"/>
        </w:rPr>
        <w:t>fe.gov.cn/qinghai/index.html。</w:t>
      </w:r>
    </w:p>
    <w:p>
      <w:pPr>
        <w:adjustRightInd w:val="0"/>
        <w:snapToGrid w:val="0"/>
        <w:spacing w:line="360" w:lineRule="auto"/>
        <w:ind w:firstLine="600"/>
        <w:rPr>
          <w:rFonts w:hint="default" w:ascii="Times New Roman" w:hAnsi="Times New Roman" w:eastAsia="仿宋_GB2312" w:cs="Times New Roman"/>
          <w:sz w:val="30"/>
          <w:szCs w:val="30"/>
          <w:lang w:val="en-US" w:eastAsia="zh-CN"/>
        </w:rPr>
      </w:pPr>
      <w:r>
        <w:rPr>
          <w:rFonts w:hint="default" w:ascii="Times New Roman" w:hAnsi="Times New Roman" w:eastAsia="仿宋_GB2312" w:cs="Times New Roman"/>
          <w:sz w:val="30"/>
          <w:szCs w:val="30"/>
          <w:lang w:val="en-US" w:eastAsia="zh-CN"/>
        </w:rPr>
        <w:t>对行政许可进程信息进行查询，也可登陆国家外汇管理局政务服务网上办理系统（通过国家外汇管理局“数字外管”平台：</w:t>
      </w:r>
      <w:r>
        <w:rPr>
          <w:rFonts w:hint="eastAsia" w:ascii="Times New Roman" w:hAnsi="Times New Roman" w:eastAsia="仿宋_GB2312" w:cs="Times New Roman"/>
          <w:sz w:val="30"/>
          <w:szCs w:val="30"/>
          <w:lang w:val="en-US" w:eastAsia="zh-CN"/>
        </w:rPr>
        <w:fldChar w:fldCharType="begin"/>
      </w:r>
      <w:r>
        <w:rPr>
          <w:rFonts w:hint="eastAsia" w:ascii="Times New Roman" w:hAnsi="Times New Roman" w:eastAsia="仿宋_GB2312" w:cs="Times New Roman"/>
          <w:sz w:val="30"/>
          <w:szCs w:val="30"/>
          <w:lang w:val="en-US" w:eastAsia="zh-CN"/>
        </w:rPr>
        <w:instrText xml:space="preserve"> HYPERLINK "http://zwfw.safe.gov.cn/asone/）" </w:instrText>
      </w:r>
      <w:r>
        <w:rPr>
          <w:rFonts w:hint="eastAsia" w:ascii="Times New Roman" w:hAnsi="Times New Roman" w:eastAsia="仿宋_GB2312" w:cs="Times New Roman"/>
          <w:sz w:val="30"/>
          <w:szCs w:val="30"/>
          <w:lang w:val="en-US" w:eastAsia="zh-CN"/>
        </w:rPr>
        <w:fldChar w:fldCharType="separate"/>
      </w:r>
      <w:r>
        <w:rPr>
          <w:rFonts w:hint="eastAsia" w:ascii="Times New Roman" w:hAnsi="Times New Roman" w:eastAsia="仿宋_GB2312" w:cs="Times New Roman"/>
          <w:sz w:val="30"/>
          <w:szCs w:val="30"/>
          <w:lang w:val="en-US" w:eastAsia="zh-CN"/>
        </w:rPr>
        <w:t>http://zwfw.safe.gov.cn/asone/）</w:t>
      </w:r>
      <w:r>
        <w:rPr>
          <w:rFonts w:hint="eastAsia" w:ascii="Times New Roman" w:hAnsi="Times New Roman" w:eastAsia="仿宋_GB2312" w:cs="Times New Roman"/>
          <w:sz w:val="30"/>
          <w:szCs w:val="30"/>
          <w:lang w:val="en-US" w:eastAsia="zh-CN"/>
        </w:rPr>
        <w:fldChar w:fldCharType="end"/>
      </w:r>
      <w:r>
        <w:rPr>
          <w:rFonts w:hint="eastAsia" w:ascii="Times New Roman" w:hAnsi="Times New Roman" w:eastAsia="仿宋_GB2312" w:cs="Times New Roman"/>
          <w:sz w:val="30"/>
          <w:szCs w:val="30"/>
          <w:lang w:val="en-US" w:eastAsia="zh-CN"/>
        </w:rPr>
        <w:t>，或</w:t>
      </w:r>
      <w:r>
        <w:rPr>
          <w:rFonts w:hint="default" w:ascii="Times New Roman" w:hAnsi="Times New Roman" w:eastAsia="仿宋_GB2312" w:cs="Times New Roman"/>
          <w:sz w:val="30"/>
          <w:szCs w:val="30"/>
          <w:lang w:val="en-US" w:eastAsia="zh-CN"/>
        </w:rPr>
        <w:t>通过微信扫码国家政务服务平台“</w:t>
      </w:r>
      <w:r>
        <w:rPr>
          <w:rFonts w:hint="eastAsia" w:ascii="Times New Roman" w:hAnsi="Times New Roman" w:eastAsia="仿宋_GB2312" w:cs="Times New Roman"/>
          <w:sz w:val="30"/>
          <w:szCs w:val="30"/>
          <w:lang w:val="en-US" w:eastAsia="zh-CN"/>
        </w:rPr>
        <w:t>外汇政务服务</w:t>
      </w:r>
      <w:r>
        <w:rPr>
          <w:rFonts w:hint="default" w:ascii="Times New Roman" w:hAnsi="Times New Roman" w:eastAsia="仿宋_GB2312" w:cs="Times New Roman"/>
          <w:sz w:val="30"/>
          <w:szCs w:val="30"/>
          <w:lang w:val="en-US" w:eastAsia="zh-CN"/>
        </w:rPr>
        <w:t>”</w:t>
      </w:r>
      <w:r>
        <w:rPr>
          <w:rFonts w:hint="eastAsia" w:ascii="Times New Roman" w:hAnsi="Times New Roman" w:eastAsia="仿宋_GB2312" w:cs="Times New Roman"/>
          <w:sz w:val="30"/>
          <w:szCs w:val="30"/>
          <w:lang w:val="en-US" w:eastAsia="zh-CN"/>
        </w:rPr>
        <w:t>二维码快捷查询：</w:t>
      </w:r>
    </w:p>
    <w:p>
      <w:pPr>
        <w:widowControl/>
        <w:wordWrap/>
        <w:adjustRightInd w:val="0"/>
        <w:snapToGrid w:val="0"/>
        <w:spacing w:before="100" w:beforeAutospacing="1" w:after="100" w:afterAutospacing="1" w:line="360" w:lineRule="auto"/>
        <w:ind w:left="0" w:right="0" w:firstLine="601"/>
        <w:jc w:val="left"/>
      </w:pPr>
      <w:r>
        <w:rPr>
          <w:rFonts w:hint="eastAsia" w:ascii="Times New Roman" w:hAnsi="Times New Roman" w:eastAsia="仿宋_GB2312" w:cs="Times New Roman"/>
          <w:i w:val="0"/>
          <w:color w:val="800080"/>
          <w:kern w:val="2"/>
          <w:sz w:val="30"/>
          <w:szCs w:val="30"/>
          <w:u w:val="none"/>
          <w:lang w:val="en-US" w:eastAsia="zh-CN" w:bidi="ar-SA"/>
        </w:rPr>
        <w:t xml:space="preserve">             </w:t>
      </w:r>
      <w:r>
        <w:rPr>
          <w:rFonts w:hint="eastAsia" w:ascii="宋体" w:hAnsi="宋体" w:eastAsia="宋体" w:cs="宋体"/>
          <w:i w:val="0"/>
          <w:color w:val="800080"/>
          <w:kern w:val="0"/>
          <w:sz w:val="24"/>
          <w:szCs w:val="24"/>
          <w:u w:val="none"/>
          <w:lang w:val="en-US" w:eastAsia="zh-CN" w:bidi="ar-SA"/>
        </w:rPr>
        <w:fldChar w:fldCharType="begin"/>
      </w:r>
      <w:r>
        <w:rPr>
          <w:rFonts w:hint="eastAsia" w:ascii="宋体" w:hAnsi="宋体" w:eastAsia="宋体" w:cs="宋体"/>
          <w:i w:val="0"/>
          <w:color w:val="800080"/>
          <w:kern w:val="0"/>
          <w:sz w:val="24"/>
          <w:szCs w:val="24"/>
          <w:u w:val="none"/>
          <w:lang w:val="en-US" w:eastAsia="zh-CN" w:bidi="ar-SA"/>
        </w:rPr>
        <w:instrText xml:space="preserve">INCLUDEPICTURE \d "C:\\Users\\Administrator\\Documents\\My PBC IM\\21474886701897\\images\\1F33774E58B0B4E49251BC97F808A299.png" \* MERGEFORMATINET </w:instrText>
      </w:r>
      <w:r>
        <w:rPr>
          <w:rFonts w:hint="eastAsia" w:ascii="宋体" w:hAnsi="宋体" w:eastAsia="宋体" w:cs="宋体"/>
          <w:i w:val="0"/>
          <w:color w:val="800080"/>
          <w:kern w:val="0"/>
          <w:sz w:val="24"/>
          <w:szCs w:val="24"/>
          <w:u w:val="none"/>
          <w:lang w:val="en-US" w:eastAsia="zh-CN" w:bidi="ar-SA"/>
        </w:rPr>
        <w:fldChar w:fldCharType="separate"/>
      </w:r>
      <w:r>
        <w:rPr>
          <w:rFonts w:hint="eastAsia" w:ascii="宋体" w:hAnsi="宋体" w:eastAsia="宋体" w:cs="宋体"/>
          <w:i w:val="0"/>
          <w:color w:val="800080"/>
          <w:kern w:val="0"/>
          <w:sz w:val="24"/>
          <w:szCs w:val="24"/>
          <w:u w:val="none"/>
          <w:lang w:val="en-US" w:eastAsia="zh-CN" w:bidi="ar-SA"/>
        </w:rPr>
        <w:pict>
          <v:shape id="图片 40" o:spid="_x0000_s1027" type="#_x0000_t75" style="height:165pt;width:177pt;rotation:0f;" o:ole="f" fillcolor="#FFFFFF" filled="f" o:preferrelative="t" stroked="f" coordorigin="0,0" coordsize="21600,21600">
            <v:fill on="f" color2="#FFFFFF" focus="0%"/>
            <v:imagedata gain="65536f" blacklevel="0f" gamma="0" o:title="IMG_256" r:id="rId8"/>
            <o:lock v:ext="edit" position="f" selection="f" grouping="f" rotation="f" cropping="f" text="f" aspectratio="t"/>
            <w10:wrap type="none"/>
            <w10:anchorlock/>
          </v:shape>
        </w:pict>
      </w:r>
      <w:r>
        <w:rPr>
          <w:rFonts w:hint="eastAsia" w:ascii="宋体" w:hAnsi="宋体" w:eastAsia="宋体" w:cs="宋体"/>
          <w:i w:val="0"/>
          <w:color w:val="800080"/>
          <w:kern w:val="0"/>
          <w:sz w:val="24"/>
          <w:szCs w:val="24"/>
          <w:u w:val="none"/>
          <w:lang w:val="en-US" w:eastAsia="zh-CN" w:bidi="ar-SA"/>
        </w:rPr>
        <w:fldChar w:fldCharType="end"/>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5" o:spid="_x0000_s1028" style="position:absolute;left:0;margin-left:-11.2pt;margin-top:35.3pt;height:586.05pt;width:452.85pt;rotation:0f;z-index:251658240;" coordorigin="1211,3000" coordsize="9057,11721">
            <o:lock v:ext="edit" position="f" selection="f" grouping="f" rotation="f" cropping="f" text="f" aspectratio="f"/>
            <v:rect id="Rectangle 3" o:spid="_x0000_s1029"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4" o:spid="_x0000_s1030"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5" o:spid="_x0000_s1031"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6" o:spid="_x0000_s1032"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7" o:spid="_x0000_s1033"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8" o:spid="_x0000_s1034"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9" o:spid="_x0000_s1035"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0" o:spid="_x0000_s1036"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1" o:spid="_x0000_s1037" style="position:absolute;left:1211;top:3000;height:7693;width:9057;rotation:0f;" coordorigin="1211,3000" coordsize="9057,7693">
              <o:lock v:ext="edit" position="f" selection="f" grouping="f" rotation="f" cropping="f" text="f" aspectratio="f"/>
              <v:shape id="AutoShape 12" o:spid="_x0000_s1038"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3" o:spid="_x0000_s1039" style="position:absolute;left:1211;top:3000;height:7693;width:9057;rotation:0f;" coordorigin="1211,3000" coordsize="9057,7693">
                <o:lock v:ext="edit" position="f" selection="f" grouping="f" rotation="f" cropping="f" text="f" aspectratio="f"/>
                <v:shape id="AutoShape 14" o:spid="_x0000_s1040"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5" o:spid="_x0000_s1041"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6" o:spid="_x0000_s1042"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7" o:spid="_x0000_s1043"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8" o:spid="_x0000_s1044"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19" o:spid="_x0000_s1045"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0" o:spid="_x0000_s1046"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1" o:spid="_x0000_s1047" type="#_x0000_t116" style="position:absolute;left:5913;top:4172;height:1623;width:304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22" o:spid="_x0000_s1048" style="position:absolute;left:1211;top:3000;height:7424;width:4730;rotation:0f;" coordorigin="1211,3000" coordsize="4730,7424">
                  <o:lock v:ext="edit" position="f" selection="f" grouping="f" rotation="f" cropping="f" text="f" aspectratio="f"/>
                  <v:shape id="AutoShape 23" o:spid="_x0000_s1049"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4" o:spid="_x0000_s1050"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25" o:spid="_x0000_s1051" style="position:absolute;left:1211;top:3000;height:4049;width:3765;rotation:0f;" coordorigin="1211,3000" coordsize="3765,4049">
                    <o:lock v:ext="edit" position="f" selection="f" grouping="f" rotation="f" cropping="f" text="f" aspectratio="f"/>
                    <v:shape id="AutoShape 26" o:spid="_x0000_s1052"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53" type="#_x0000_t32" style="position:absolute;left:4193;top:5967;flip:y;height:26;width:783;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28" o:spid="_x0000_s1054" type="#_x0000_t4" style="position:absolute;left:1211;top:4936;height:2113;width:2982;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29" o:spid="_x0000_s1055"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0" o:spid="_x0000_s1056"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1" o:spid="_x0000_s1057"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2" o:spid="_x0000_s1058"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3" o:spid="_x0000_s1059"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4" o:spid="_x0000_s1060"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5" o:spid="_x0000_s1061" type="#_x0000_t32" style="position:absolute;left:9055;top:4886;flip:x;height:0;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pStyle w:val="3"/>
        <w:spacing w:before="0" w:after="0" w:line="240" w:lineRule="auto"/>
        <w:jc w:val="left"/>
        <w:rPr>
          <w:rFonts w:ascii="Times New Roman" w:hAnsi="Times New Roman"/>
          <w:b w:val="0"/>
          <w:sz w:val="28"/>
          <w:szCs w:val="28"/>
        </w:rPr>
      </w:pPr>
      <w:r>
        <w:rPr>
          <w:rFonts w:ascii="Times New Roman" w:hAnsi="Times New Roman" w:eastAsia="仿宋_GB2312"/>
          <w:b w:val="0"/>
          <w:sz w:val="30"/>
          <w:szCs w:val="30"/>
        </w:rPr>
        <w:t>附录二</w:t>
      </w:r>
      <w:bookmarkStart w:id="0" w:name="_Toc495992556"/>
      <w:bookmarkStart w:id="1" w:name="_Toc492328439"/>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bookmarkEnd w:id="0"/>
      <w:bookmarkEnd w:id="1"/>
      <w:r>
        <w:rPr>
          <w:rFonts w:ascii="Times New Roman" w:hAnsi="Times New Roman" w:eastAsia="黑体" w:cs="Times New Roman"/>
          <w:sz w:val="30"/>
          <w:szCs w:val="30"/>
        </w:rPr>
        <w:t>(</w:t>
      </w:r>
      <w:r>
        <w:rPr>
          <w:rFonts w:ascii="Times New Roman" w:hAnsi="黑体" w:eastAsia="黑体" w:cs="Times New Roman"/>
          <w:sz w:val="30"/>
          <w:szCs w:val="30"/>
        </w:rPr>
        <w:t>示范文本</w:t>
      </w:r>
      <w:r>
        <w:rPr>
          <w:rFonts w:ascii="Times New Roman" w:hAnsi="Times New Roman" w:eastAsia="黑体" w:cs="Times New Roman"/>
          <w:sz w:val="30"/>
          <w:szCs w:val="30"/>
        </w:rPr>
        <w:t>)</w:t>
      </w:r>
    </w:p>
    <w:tbl>
      <w:tblPr>
        <w:tblStyle w:val="17"/>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hint="eastAsia" w:ascii="Times New Roman" w:hAnsi="宋体" w:cs="Times New Roman"/>
                <w:kern w:val="0"/>
                <w:sz w:val="24"/>
              </w:rPr>
              <w:t>金融机构标识码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宋体"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rPr>
          <w:rFonts w:ascii="Times New Roman" w:hAnsi="Times New Roman" w:cs="Times New Roman"/>
          <w:kern w:val="0"/>
          <w:sz w:val="30"/>
          <w:szCs w:val="30"/>
        </w:rPr>
      </w:pPr>
    </w:p>
    <w:p>
      <w:pPr>
        <w:widowControl/>
        <w:snapToGrid w:val="0"/>
        <w:rPr>
          <w:rFonts w:ascii="Times New Roman" w:hAnsi="Times New Roman" w:cs="Times New Roman"/>
          <w:kern w:val="0"/>
          <w:szCs w:val="21"/>
        </w:rPr>
      </w:pPr>
    </w:p>
    <w:p>
      <w:pPr>
        <w:widowControl/>
        <w:snapToGrid w:val="0"/>
        <w:rPr>
          <w:rFonts w:ascii="Times New Roman" w:hAnsi="Times New Roman" w:cs="Times New Roman"/>
          <w:kern w:val="0"/>
          <w:szCs w:val="21"/>
        </w:rPr>
      </w:pPr>
      <w:r>
        <w:rPr>
          <w:rFonts w:ascii="Times New Roman" w:hAnsi="宋体" w:cs="Times New Roman"/>
          <w:kern w:val="0"/>
          <w:szCs w:val="21"/>
        </w:rPr>
        <w:t>填写说明：</w:t>
      </w:r>
    </w:p>
    <w:p>
      <w:pPr>
        <w:widowControl/>
        <w:snapToGrid w:val="0"/>
        <w:rPr>
          <w:rFonts w:ascii="Times New Roman" w:hAnsi="Times New Roman" w:cs="Times New Roman"/>
          <w:kern w:val="0"/>
          <w:szCs w:val="21"/>
        </w:rPr>
      </w:pPr>
      <w:r>
        <w:rPr>
          <w:rFonts w:ascii="Times New Roman" w:hAnsi="Times New Roman" w:cs="Times New Roman"/>
          <w:kern w:val="0"/>
          <w:szCs w:val="21"/>
        </w:rPr>
        <w:t>1</w:t>
      </w:r>
      <w:r>
        <w:rPr>
          <w:rFonts w:ascii="Times New Roman" w:hAnsi="宋体" w:cs="Times New Roman"/>
          <w:kern w:val="0"/>
          <w:szCs w:val="21"/>
        </w:rPr>
        <w:t>、登记表编号由外汇局填写，规则为</w:t>
      </w:r>
      <w:r>
        <w:rPr>
          <w:rFonts w:ascii="Times New Roman" w:hAnsi="Times New Roman" w:cs="Times New Roman"/>
          <w:kern w:val="0"/>
          <w:szCs w:val="21"/>
        </w:rPr>
        <w:t>RSD+</w:t>
      </w:r>
      <w:r>
        <w:rPr>
          <w:rFonts w:ascii="Times New Roman" w:hAnsi="宋体" w:cs="Times New Roman"/>
          <w:kern w:val="0"/>
          <w:szCs w:val="21"/>
        </w:rPr>
        <w:t>六位地区代码</w:t>
      </w:r>
      <w:r>
        <w:rPr>
          <w:rFonts w:ascii="Times New Roman" w:hAnsi="Times New Roman" w:cs="Times New Roman"/>
          <w:kern w:val="0"/>
          <w:szCs w:val="21"/>
        </w:rPr>
        <w:t>+</w:t>
      </w:r>
      <w:r>
        <w:rPr>
          <w:rFonts w:ascii="Times New Roman" w:hAnsi="宋体" w:cs="Times New Roman"/>
          <w:kern w:val="0"/>
          <w:szCs w:val="21"/>
        </w:rPr>
        <w:t>四位年份代码</w:t>
      </w:r>
      <w:r>
        <w:rPr>
          <w:rFonts w:ascii="Times New Roman" w:hAnsi="Times New Roman" w:cs="Times New Roman"/>
          <w:kern w:val="0"/>
          <w:szCs w:val="21"/>
        </w:rPr>
        <w:t>+</w:t>
      </w:r>
      <w:r>
        <w:rPr>
          <w:rFonts w:ascii="Times New Roman" w:hAnsi="宋体" w:cs="Times New Roman"/>
          <w:kern w:val="0"/>
          <w:szCs w:val="21"/>
        </w:rPr>
        <w:t>四位顺序码。</w:t>
      </w:r>
    </w:p>
    <w:p>
      <w:pPr>
        <w:widowControl/>
        <w:snapToGrid w:val="0"/>
        <w:rPr>
          <w:rFonts w:ascii="Times New Roman" w:hAnsi="Times New Roman" w:cs="Times New Roman"/>
          <w:kern w:val="0"/>
          <w:szCs w:val="21"/>
        </w:rPr>
      </w:pPr>
      <w:r>
        <w:rPr>
          <w:rFonts w:ascii="Times New Roman" w:hAnsi="Times New Roman" w:cs="Times New Roman"/>
          <w:kern w:val="0"/>
          <w:szCs w:val="21"/>
        </w:rPr>
        <w:t>2</w:t>
      </w:r>
      <w:r>
        <w:rPr>
          <w:rFonts w:ascii="Times New Roman" w:hAnsi="宋体" w:cs="Times New Roman"/>
          <w:kern w:val="0"/>
          <w:szCs w:val="21"/>
        </w:rPr>
        <w:t>、登记表的内容由银行填写并加盖公章后提交外汇局。</w:t>
      </w:r>
    </w:p>
    <w:p>
      <w:pPr>
        <w:widowControl/>
        <w:snapToGrid w:val="0"/>
        <w:rPr>
          <w:rFonts w:ascii="Times New Roman" w:hAnsi="Times New Roman" w:cs="Times New Roman"/>
          <w:highlight w:val="cyan"/>
        </w:rPr>
      </w:pPr>
      <w:r>
        <w:rPr>
          <w:rFonts w:ascii="Times New Roman" w:hAnsi="Times New Roman" w:cs="Times New Roman"/>
          <w:kern w:val="0"/>
          <w:szCs w:val="21"/>
        </w:rPr>
        <w:t>3</w:t>
      </w:r>
      <w:r>
        <w:rPr>
          <w:rFonts w:ascii="Times New Roman" w:hAnsi="宋体" w:cs="Times New Roman"/>
          <w:kern w:val="0"/>
          <w:szCs w:val="21"/>
        </w:rPr>
        <w:t>、</w:t>
      </w:r>
      <w:r>
        <w:rPr>
          <w:rFonts w:ascii="Times New Roman" w:hAnsi="Times New Roman" w:cs="Times New Roman"/>
          <w:kern w:val="0"/>
          <w:szCs w:val="21"/>
        </w:rPr>
        <w:t>“</w:t>
      </w:r>
      <w:r>
        <w:rPr>
          <w:rFonts w:ascii="Times New Roman" w:hAnsi="宋体" w:cs="Times New Roman"/>
          <w:kern w:val="0"/>
          <w:szCs w:val="21"/>
        </w:rPr>
        <w:t>衍生业务资格批准文件文号及日期</w:t>
      </w:r>
      <w:r>
        <w:rPr>
          <w:rFonts w:ascii="Times New Roman" w:hAnsi="Times New Roman" w:cs="Times New Roman"/>
          <w:kern w:val="0"/>
          <w:szCs w:val="21"/>
        </w:rPr>
        <w:t>”</w:t>
      </w:r>
      <w:r>
        <w:rPr>
          <w:rFonts w:ascii="Times New Roman" w:hAnsi="宋体" w:cs="Times New Roman"/>
          <w:kern w:val="0"/>
          <w:szCs w:val="21"/>
        </w:rPr>
        <w:t>为银监部门批准银行从事衍生品业务的批准文件文号及日期。</w:t>
      </w: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rPr>
          <w:rFonts w:ascii="Times New Roman" w:hAnsi="Times New Roman" w:cs="Times New Roman"/>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附录三</w:t>
      </w:r>
    </w:p>
    <w:p>
      <w:pPr>
        <w:jc w:val="center"/>
        <w:rPr>
          <w:rFonts w:ascii="Times New Roman" w:hAnsi="Times New Roman" w:eastAsia="黑体" w:cs="Times New Roman"/>
          <w:sz w:val="30"/>
          <w:szCs w:val="30"/>
        </w:rPr>
      </w:pPr>
      <w:r>
        <w:rPr>
          <w:rFonts w:ascii="Times New Roman" w:hAnsi="黑体" w:eastAsia="黑体" w:cs="Times New Roman"/>
          <w:sz w:val="30"/>
          <w:szCs w:val="30"/>
        </w:rPr>
        <w:t>商业银行人民币结构性存款业务外汇登记申请表</w:t>
      </w:r>
      <w:r>
        <w:rPr>
          <w:rFonts w:ascii="Times New Roman" w:hAnsi="Times New Roman" w:eastAsia="黑体" w:cs="Times New Roman"/>
          <w:sz w:val="30"/>
          <w:szCs w:val="30"/>
        </w:rPr>
        <w:t>(</w:t>
      </w:r>
      <w:r>
        <w:rPr>
          <w:rFonts w:ascii="Times New Roman" w:hAnsi="黑体" w:eastAsia="黑体" w:cs="Times New Roman"/>
          <w:sz w:val="30"/>
          <w:szCs w:val="30"/>
        </w:rPr>
        <w:t>错误示例</w:t>
      </w:r>
      <w:r>
        <w:rPr>
          <w:rFonts w:ascii="Times New Roman" w:hAnsi="Times New Roman" w:eastAsia="黑体" w:cs="Times New Roman"/>
          <w:sz w:val="30"/>
          <w:szCs w:val="30"/>
        </w:rPr>
        <w:t>)</w:t>
      </w:r>
    </w:p>
    <w:tbl>
      <w:tblPr>
        <w:tblStyle w:val="17"/>
        <w:tblW w:w="861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20"/>
        <w:gridCol w:w="1672"/>
        <w:gridCol w:w="992"/>
        <w:gridCol w:w="567"/>
        <w:gridCol w:w="1276"/>
        <w:gridCol w:w="851"/>
        <w:gridCol w:w="19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nil"/>
              <w:left w:val="nil"/>
              <w:bottom w:val="nil"/>
              <w:right w:val="nil"/>
            </w:tcBorders>
            <w:vAlign w:val="center"/>
          </w:tcPr>
          <w:p>
            <w:pPr>
              <w:widowControl/>
              <w:rPr>
                <w:rFonts w:ascii="Times New Roman" w:hAnsi="Times New Roman" w:cs="Times New Roman"/>
                <w:kern w:val="0"/>
                <w:sz w:val="24"/>
              </w:rPr>
            </w:pPr>
            <w:r>
              <w:rPr>
                <w:rFonts w:ascii="Times New Roman" w:hAnsi="宋体" w:cs="Times New Roman"/>
                <w:kern w:val="0"/>
                <w:sz w:val="24"/>
              </w:rPr>
              <w:t>编号：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top"/>
          </w:tcPr>
          <w:p>
            <w:pPr>
              <w:widowControl/>
              <w:rPr>
                <w:rFonts w:ascii="Times New Roman" w:hAnsi="Times New Roman" w:cs="Times New Roman"/>
                <w:b/>
                <w:bCs/>
                <w:kern w:val="0"/>
                <w:sz w:val="24"/>
              </w:rPr>
            </w:pPr>
            <w:r>
              <w:rPr>
                <w:rFonts w:ascii="Times New Roman" w:hAnsi="宋体" w:cs="Times New Roman"/>
                <w:b/>
                <w:bCs/>
                <w:kern w:val="0"/>
                <w:sz w:val="24"/>
              </w:rPr>
              <w:t>银行基本情况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810" w:hRule="atLeast"/>
        </w:trPr>
        <w:tc>
          <w:tcPr>
            <w:tcW w:w="1320" w:type="dxa"/>
            <w:tcBorders>
              <w:top w:val="nil"/>
              <w:left w:val="single" w:color="auto" w:sz="4" w:space="0"/>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rect id="矩形 4" o:spid="_x0000_s1062" style="position:absolute;left:0;margin-left:-85.45pt;margin-top:36.7pt;height:91.5pt;width:59.5pt;rotation:0f;z-index:251660288;" o:ole="f" fillcolor="#FFFFFF" filled="t" o:preferrelative="t" stroked="t" coordsize="21600,21600">
                  <v:stroke color="#C00000" color2="#FFFFFF" miterlimit="2"/>
                  <v:imagedata gain="65536f" blacklevel="0f" gamma="0"/>
                  <o:lock v:ext="edit" position="f" selection="f" grouping="f" rotation="f" cropping="f" text="f" aspectratio="f"/>
                </v:rect>
              </w:pict>
            </w:r>
            <w:r>
              <w:rPr>
                <w:rFonts w:ascii="Times New Roman" w:hAnsi="Times New Roman" w:eastAsia="宋体" w:cs="Times New Roman"/>
                <w:kern w:val="0"/>
                <w:sz w:val="24"/>
                <w:szCs w:val="22"/>
                <w:lang w:val="en-US" w:eastAsia="zh-CN" w:bidi="ar-SA"/>
              </w:rPr>
              <w:pict>
                <v:shape id="椭圆 3" o:spid="_x0000_s1063" type="#_x0000_t3" style="position:absolute;left:0;margin-left:71.3pt;margin-top:50.2pt;height:25.5pt;width:62.25pt;rotation:0f;z-index:251659264;"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hAnsi="Times New Roman" w:eastAsia="宋体" w:cs="Times New Roman"/>
                <w:kern w:val="0"/>
                <w:sz w:val="24"/>
                <w:szCs w:val="22"/>
                <w:lang w:val="en-US" w:eastAsia="zh-CN" w:bidi="ar-SA"/>
              </w:rPr>
              <w:pict>
                <v:shape id="直接箭头连接符 2" o:spid="_x0000_s1064" type="#_x0000_t32" style="position:absolute;left:0;flip:x;margin-left:-26.2pt;margin-top:63.7pt;height:12pt;width:97.5pt;rotation:0f;z-index:251661312;"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宋体" w:cs="Times New Roman"/>
                <w:kern w:val="0"/>
                <w:sz w:val="24"/>
              </w:rPr>
              <w:t>银行名称（加盖公章）</w:t>
            </w:r>
          </w:p>
        </w:tc>
        <w:tc>
          <w:tcPr>
            <w:tcW w:w="3231" w:type="dxa"/>
            <w:gridSpan w:val="3"/>
            <w:tcBorders>
              <w:top w:val="single" w:color="auto" w:sz="4" w:space="0"/>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代码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Times New Roman" w:eastAsia="宋体" w:cs="Times New Roman"/>
                <w:kern w:val="0"/>
                <w:sz w:val="24"/>
                <w:szCs w:val="22"/>
                <w:lang w:val="en-US" w:eastAsia="zh-CN" w:bidi="ar-SA"/>
              </w:rPr>
              <w:pict>
                <v:shape id="文本框 1" o:spid="_x0000_s1065" type="#_x0000_t202" style="position:absolute;left:0;margin-left:-73.85pt;margin-top:-1.45pt;height:71.25pt;width:42.35pt;rotation:0f;z-index:251662336;" o:ole="f" fillcolor="#BBD5F0" filled="f" o:preferrelative="t" stroked="f" coordorigin="0,0" coordsize="21600,21600">
                  <v:fill type="gradient" on="f" color2="#9CBEE0" focus="100%" focussize="0f,0f" focusposition="0f,0f"/>
                  <v:imagedata gain="65536f" blacklevel="0f" gamma="0"/>
                  <o:lock v:ext="edit" position="f" selection="f" grouping="f" rotation="f" cropping="f" text="f" aspectratio="f"/>
                  <v:textbox>
                    <w:txbxContent>
                      <w:p>
                        <w:pPr>
                          <w:rPr>
                            <w:sz w:val="24"/>
                          </w:rPr>
                        </w:pPr>
                        <w:r>
                          <w:rPr>
                            <w:rFonts w:hint="eastAsia"/>
                            <w:sz w:val="24"/>
                          </w:rPr>
                          <w:t>地址填写不清楚</w:t>
                        </w:r>
                      </w:p>
                    </w:txbxContent>
                  </v:textbox>
                </v:shape>
              </w:pict>
            </w:r>
            <w:r>
              <w:rPr>
                <w:rFonts w:ascii="Times New Roman" w:hAnsi="宋体" w:cs="Times New Roman"/>
                <w:kern w:val="0"/>
                <w:sz w:val="24"/>
              </w:rPr>
              <w:t>地址</w:t>
            </w:r>
          </w:p>
        </w:tc>
        <w:tc>
          <w:tcPr>
            <w:tcW w:w="3231" w:type="dxa"/>
            <w:gridSpan w:val="3"/>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1276" w:type="dxa"/>
            <w:tcBorders>
              <w:top w:val="nil"/>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邮政编码</w:t>
            </w:r>
          </w:p>
        </w:tc>
        <w:tc>
          <w:tcPr>
            <w:tcW w:w="2788"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1320" w:type="dxa"/>
            <w:tcBorders>
              <w:top w:val="nil"/>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联系人</w:t>
            </w:r>
          </w:p>
        </w:tc>
        <w:tc>
          <w:tcPr>
            <w:tcW w:w="167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c>
          <w:tcPr>
            <w:tcW w:w="992"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电话</w:t>
            </w:r>
          </w:p>
        </w:tc>
        <w:tc>
          <w:tcPr>
            <w:tcW w:w="1843" w:type="dxa"/>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c>
          <w:tcPr>
            <w:tcW w:w="851"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传真</w:t>
            </w:r>
          </w:p>
        </w:tc>
        <w:tc>
          <w:tcPr>
            <w:tcW w:w="1937" w:type="dxa"/>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3984" w:type="dxa"/>
            <w:gridSpan w:val="3"/>
            <w:tcBorders>
              <w:top w:val="single" w:color="auto" w:sz="4" w:space="0"/>
              <w:left w:val="single" w:color="auto" w:sz="4" w:space="0"/>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衍生业务资格批准文件文号及日期</w:t>
            </w:r>
          </w:p>
        </w:tc>
        <w:tc>
          <w:tcPr>
            <w:tcW w:w="4631" w:type="dxa"/>
            <w:gridSpan w:val="4"/>
            <w:tcBorders>
              <w:top w:val="single" w:color="auto" w:sz="4" w:space="0"/>
              <w:left w:val="nil"/>
              <w:bottom w:val="single" w:color="auto" w:sz="4" w:space="0"/>
              <w:right w:val="single" w:color="auto"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b/>
                <w:kern w:val="0"/>
                <w:sz w:val="24"/>
              </w:rPr>
            </w:pPr>
            <w:r>
              <w:rPr>
                <w:rFonts w:ascii="Times New Roman" w:hAnsi="宋体" w:cs="Times New Roman"/>
                <w:b/>
                <w:kern w:val="0"/>
                <w:sz w:val="24"/>
              </w:rPr>
              <w:t>人民币结构性存款业务开展情况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80"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是否开展过人民币结构性存款业务：</w:t>
            </w:r>
            <w:r>
              <w:rPr>
                <w:rFonts w:ascii="Times New Roman" w:hAnsi="Times New Roman" w:cs="Times New Roman"/>
                <w:kern w:val="0"/>
                <w:sz w:val="24"/>
              </w:rPr>
              <w:t xml:space="preserve"> □</w:t>
            </w:r>
            <w:r>
              <w:rPr>
                <w:rFonts w:ascii="Times New Roman" w:hAnsi="宋体" w:cs="Times New Roman"/>
                <w:kern w:val="0"/>
                <w:sz w:val="24"/>
              </w:rPr>
              <w:t>是（转入下一流程）</w:t>
            </w:r>
            <w:r>
              <w:rPr>
                <w:rFonts w:ascii="Times New Roman" w:hAnsi="Times New Roman" w:cs="Times New Roman"/>
                <w:kern w:val="0"/>
                <w:sz w:val="24"/>
              </w:rPr>
              <w:t xml:space="preserve">      □</w:t>
            </w:r>
            <w:r>
              <w:rPr>
                <w:rFonts w:ascii="Times New Roman" w:hAnsi="宋体" w:cs="Times New Roman"/>
                <w:kern w:val="0"/>
                <w:sz w:val="24"/>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1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rPr>
                <w:rFonts w:ascii="Times New Roman" w:hAnsi="Times New Roman" w:cs="Times New Roman"/>
                <w:kern w:val="0"/>
                <w:sz w:val="24"/>
              </w:rPr>
            </w:pPr>
            <w:r>
              <w:rPr>
                <w:rFonts w:ascii="Times New Roman" w:hAnsi="宋体" w:cs="Times New Roman"/>
                <w:kern w:val="0"/>
                <w:sz w:val="24"/>
              </w:rPr>
              <w:t>已吸收人民币结构性存款的主要情况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4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挂钩标的（可多选）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汇率</w:t>
            </w:r>
            <w:r>
              <w:rPr>
                <w:rFonts w:ascii="Times New Roman" w:hAnsi="Times New Roman" w:cs="Times New Roman"/>
                <w:kern w:val="0"/>
                <w:sz w:val="24"/>
              </w:rPr>
              <w:t xml:space="preserve">                □</w:t>
            </w:r>
            <w:r>
              <w:rPr>
                <w:rFonts w:ascii="Times New Roman" w:hAnsi="宋体" w:cs="Times New Roman"/>
                <w:kern w:val="0"/>
                <w:sz w:val="24"/>
              </w:rPr>
              <w:t>利率</w:t>
            </w:r>
            <w:r>
              <w:rPr>
                <w:rFonts w:ascii="Times New Roman" w:hAnsi="Times New Roman" w:cs="Times New Roman"/>
                <w:kern w:val="0"/>
                <w:sz w:val="24"/>
              </w:rPr>
              <w:t xml:space="preserve">           □</w:t>
            </w:r>
            <w:r>
              <w:rPr>
                <w:rFonts w:ascii="Times New Roman" w:hAnsi="宋体" w:cs="Times New Roman"/>
                <w:kern w:val="0"/>
                <w:sz w:val="24"/>
              </w:rPr>
              <w:t>股票</w:t>
            </w:r>
            <w:r>
              <w:rPr>
                <w:rFonts w:ascii="Times New Roman" w:hAnsi="Times New Roman" w:cs="Times New Roman"/>
                <w:kern w:val="0"/>
                <w:sz w:val="24"/>
              </w:rPr>
              <w:t xml:space="preserve">             □</w:t>
            </w:r>
            <w:r>
              <w:rPr>
                <w:rFonts w:ascii="Times New Roman" w:hAnsi="宋体" w:cs="Times New Roman"/>
                <w:kern w:val="0"/>
                <w:sz w:val="24"/>
              </w:rPr>
              <w:t>指数</w:t>
            </w:r>
            <w:r>
              <w:rPr>
                <w:rFonts w:ascii="Times New Roman" w:hAnsi="Times New Roman" w:cs="Times New Roman"/>
                <w:kern w:val="0"/>
                <w:sz w:val="24"/>
              </w:rPr>
              <w:t xml:space="preserve">      </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贵金属</w:t>
            </w:r>
            <w:r>
              <w:rPr>
                <w:rFonts w:ascii="Times New Roman" w:hAnsi="Times New Roman" w:cs="Times New Roman"/>
                <w:kern w:val="0"/>
                <w:sz w:val="24"/>
              </w:rPr>
              <w:t xml:space="preserve">              □</w:t>
            </w:r>
            <w:r>
              <w:rPr>
                <w:rFonts w:ascii="Times New Roman" w:hAnsi="宋体" w:cs="Times New Roman"/>
                <w:kern w:val="0"/>
                <w:sz w:val="24"/>
              </w:rPr>
              <w:t>商品</w:t>
            </w:r>
            <w:r>
              <w:rPr>
                <w:rFonts w:ascii="Times New Roman" w:hAnsi="Times New Roman" w:cs="Times New Roman"/>
                <w:kern w:val="0"/>
                <w:sz w:val="24"/>
              </w:rPr>
              <w:t xml:space="preserve">           □</w:t>
            </w:r>
            <w:r>
              <w:rPr>
                <w:rFonts w:ascii="Times New Roman" w:hAnsi="宋体" w:cs="Times New Roman"/>
                <w:kern w:val="0"/>
                <w:sz w:val="24"/>
              </w:rPr>
              <w:t>信用</w:t>
            </w:r>
            <w:r>
              <w:rPr>
                <w:rFonts w:ascii="Times New Roman" w:hAnsi="Times New Roman" w:cs="Times New Roman"/>
                <w:kern w:val="0"/>
                <w:sz w:val="24"/>
              </w:rPr>
              <w:t xml:space="preserve">             □</w:t>
            </w:r>
            <w:r>
              <w:rPr>
                <w:rFonts w:ascii="Times New Roman" w:hAnsi="宋体" w:cs="Times New Roman"/>
                <w:kern w:val="0"/>
                <w:sz w:val="24"/>
              </w:rPr>
              <w:t>其他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08"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产品期限区间</w:t>
            </w:r>
          </w:p>
          <w:p>
            <w:pPr>
              <w:widowControl/>
              <w:adjustRightInd w:val="0"/>
              <w:snapToGrid w:val="0"/>
              <w:rPr>
                <w:rFonts w:ascii="Times New Roman" w:hAnsi="Times New Roman" w:cs="Times New Roman"/>
                <w:kern w:val="0"/>
                <w:sz w:val="24"/>
              </w:rPr>
            </w:pPr>
            <w:r>
              <w:rPr>
                <w:rFonts w:ascii="Times New Roman" w:hAnsi="宋体" w:cs="Times New Roman"/>
                <w:kern w:val="0"/>
                <w:sz w:val="24"/>
              </w:rPr>
              <w:t>最短期限：</w:t>
            </w:r>
            <w:r>
              <w:rPr>
                <w:rFonts w:ascii="Times New Roman" w:hAnsi="Times New Roman" w:cs="Times New Roman"/>
                <w:kern w:val="0"/>
                <w:sz w:val="24"/>
              </w:rPr>
              <w:t xml:space="preserve">         </w:t>
            </w:r>
            <w:r>
              <w:rPr>
                <w:rFonts w:ascii="Times New Roman" w:hAnsi="宋体" w:cs="Times New Roman"/>
                <w:kern w:val="0"/>
                <w:sz w:val="24"/>
              </w:rPr>
              <w:t>最长期限：</w:t>
            </w:r>
            <w:r>
              <w:rPr>
                <w:rFonts w:ascii="Times New Roman" w:hAnsi="Times New Roman" w:cs="Times New Roman"/>
                <w:kern w:val="0"/>
                <w:sz w:val="24"/>
              </w:rPr>
              <w:t xml:space="preserve">          </w:t>
            </w:r>
            <w:r>
              <w:rPr>
                <w:rFonts w:ascii="Times New Roman" w:hAnsi="宋体" w:cs="Times New Roman"/>
                <w:kern w:val="0"/>
                <w:sz w:val="24"/>
              </w:rPr>
              <w:t>主要产品平均期限：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82" w:hRule="atLeast"/>
        </w:trPr>
        <w:tc>
          <w:tcPr>
            <w:tcW w:w="8615" w:type="dxa"/>
            <w:gridSpan w:val="7"/>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ascii="Times New Roman" w:hAnsi="Times New Roman" w:cs="Times New Roman"/>
                <w:kern w:val="0"/>
                <w:sz w:val="24"/>
              </w:rPr>
            </w:pPr>
            <w:r>
              <w:rPr>
                <w:rFonts w:ascii="Times New Roman" w:hAnsi="宋体" w:cs="Times New Roman"/>
                <w:kern w:val="0"/>
                <w:sz w:val="24"/>
              </w:rPr>
              <w:t>产品类型（可多选）：</w:t>
            </w:r>
          </w:p>
          <w:p>
            <w:pPr>
              <w:widowControl/>
              <w:adjustRightInd w:val="0"/>
              <w:snapToGrid w:val="0"/>
              <w:rPr>
                <w:rFonts w:ascii="Times New Roman" w:hAnsi="Times New Roman" w:cs="Times New Roman"/>
                <w:kern w:val="0"/>
                <w:sz w:val="24"/>
              </w:rPr>
            </w:pPr>
            <w:r>
              <w:rPr>
                <w:rFonts w:ascii="Times New Roman" w:hAnsi="Times New Roman" w:cs="Times New Roman"/>
                <w:kern w:val="0"/>
                <w:sz w:val="24"/>
              </w:rPr>
              <w:t>□</w:t>
            </w:r>
            <w:r>
              <w:rPr>
                <w:rFonts w:ascii="Times New Roman" w:hAnsi="宋体" w:cs="Times New Roman"/>
                <w:kern w:val="0"/>
                <w:sz w:val="24"/>
              </w:rPr>
              <w:t>保本</w:t>
            </w:r>
            <w:r>
              <w:rPr>
                <w:rFonts w:ascii="Times New Roman" w:hAnsi="Times New Roman" w:cs="Times New Roman"/>
                <w:kern w:val="0"/>
                <w:sz w:val="24"/>
              </w:rPr>
              <w:t xml:space="preserve">                 □</w:t>
            </w:r>
            <w:r>
              <w:rPr>
                <w:rFonts w:ascii="Times New Roman" w:hAnsi="宋体" w:cs="Times New Roman"/>
                <w:kern w:val="0"/>
                <w:sz w:val="24"/>
              </w:rPr>
              <w:t>非保本</w:t>
            </w:r>
          </w:p>
        </w:tc>
      </w:tr>
    </w:tbl>
    <w:p>
      <w:pPr>
        <w:jc w:val="right"/>
        <w:rPr>
          <w:rFonts w:ascii="Times New Roman" w:hAnsi="Times New Roman" w:cs="Times New Roman"/>
          <w:kern w:val="0"/>
          <w:sz w:val="24"/>
        </w:rPr>
      </w:pPr>
      <w:r>
        <w:rPr>
          <w:rFonts w:ascii="Times New Roman" w:hAnsi="Times New Roman" w:cs="Times New Roman"/>
          <w:kern w:val="0"/>
          <w:sz w:val="24"/>
        </w:rPr>
        <w:t xml:space="preserve">         </w:t>
      </w:r>
      <w:r>
        <w:rPr>
          <w:rFonts w:ascii="Times New Roman" w:hAnsi="宋体" w:cs="Times New Roman"/>
          <w:kern w:val="0"/>
          <w:sz w:val="24"/>
        </w:rPr>
        <w:t>（外汇局业务印章）</w:t>
      </w:r>
    </w:p>
    <w:p>
      <w:pPr>
        <w:rPr>
          <w:rFonts w:ascii="Times New Roman" w:hAnsi="Times New Roman" w:cs="Times New Roman"/>
          <w:kern w:val="0"/>
          <w:sz w:val="30"/>
          <w:szCs w:val="30"/>
        </w:rPr>
      </w:pPr>
      <w:r>
        <w:rPr>
          <w:rFonts w:ascii="Times New Roman" w:hAnsi="Times New Roman" w:cs="Times New Roman"/>
          <w:kern w:val="0"/>
          <w:sz w:val="24"/>
        </w:rPr>
        <w:t xml:space="preserve">                                                         </w:t>
      </w:r>
      <w:r>
        <w:rPr>
          <w:rFonts w:ascii="Times New Roman" w:hAnsi="宋体" w:cs="Times New Roman"/>
          <w:kern w:val="0"/>
          <w:sz w:val="24"/>
        </w:rPr>
        <w:t>年</w:t>
      </w:r>
      <w:r>
        <w:rPr>
          <w:rFonts w:ascii="Times New Roman" w:hAnsi="Times New Roman" w:cs="Times New Roman"/>
          <w:kern w:val="0"/>
          <w:sz w:val="24"/>
        </w:rPr>
        <w:t xml:space="preserve">   </w:t>
      </w:r>
      <w:r>
        <w:rPr>
          <w:rFonts w:ascii="Times New Roman" w:hAnsi="宋体" w:cs="Times New Roman"/>
          <w:kern w:val="0"/>
          <w:sz w:val="24"/>
        </w:rPr>
        <w:t>月</w:t>
      </w:r>
      <w:r>
        <w:rPr>
          <w:rFonts w:ascii="Times New Roman" w:hAnsi="Times New Roman" w:cs="Times New Roman"/>
          <w:kern w:val="0"/>
          <w:sz w:val="24"/>
        </w:rPr>
        <w:t xml:space="preserve">   </w:t>
      </w:r>
      <w:r>
        <w:rPr>
          <w:rFonts w:ascii="Times New Roman" w:hAnsi="宋体" w:cs="Times New Roman"/>
          <w:kern w:val="0"/>
          <w:sz w:val="24"/>
        </w:rPr>
        <w:t>日</w:t>
      </w:r>
    </w:p>
    <w:p>
      <w:pPr>
        <w:widowControl/>
        <w:snapToGrid w:val="0"/>
        <w:rPr>
          <w:rFonts w:ascii="Times New Roman" w:hAnsi="Times New Roman" w:cs="Times New Roman"/>
          <w:kern w:val="0"/>
          <w:sz w:val="24"/>
        </w:rPr>
      </w:pPr>
      <w:r>
        <w:rPr>
          <w:rFonts w:ascii="Times New Roman" w:hAnsi="宋体" w:cs="Times New Roman"/>
          <w:kern w:val="0"/>
          <w:sz w:val="24"/>
        </w:rPr>
        <w:t>填写说明：</w:t>
      </w:r>
    </w:p>
    <w:p>
      <w:pPr>
        <w:widowControl/>
        <w:snapToGrid w:val="0"/>
        <w:rPr>
          <w:rFonts w:ascii="Times New Roman" w:hAnsi="Times New Roman" w:cs="Times New Roman"/>
          <w:kern w:val="0"/>
          <w:sz w:val="24"/>
        </w:rPr>
      </w:pPr>
      <w:r>
        <w:rPr>
          <w:rFonts w:ascii="Times New Roman" w:hAnsi="Times New Roman" w:cs="Times New Roman"/>
          <w:kern w:val="0"/>
          <w:sz w:val="24"/>
        </w:rPr>
        <w:t>1</w:t>
      </w:r>
      <w:r>
        <w:rPr>
          <w:rFonts w:ascii="Times New Roman" w:hAnsi="宋体" w:cs="Times New Roman"/>
          <w:kern w:val="0"/>
          <w:sz w:val="24"/>
        </w:rPr>
        <w:t>、登记表编号由外汇局填写，规则为</w:t>
      </w:r>
      <w:r>
        <w:rPr>
          <w:rFonts w:ascii="Times New Roman" w:hAnsi="Times New Roman" w:cs="Times New Roman"/>
          <w:kern w:val="0"/>
          <w:sz w:val="24"/>
        </w:rPr>
        <w:t>RSD+</w:t>
      </w:r>
      <w:r>
        <w:rPr>
          <w:rFonts w:ascii="Times New Roman" w:hAnsi="宋体" w:cs="Times New Roman"/>
          <w:kern w:val="0"/>
          <w:sz w:val="24"/>
        </w:rPr>
        <w:t>六位地区代码</w:t>
      </w:r>
      <w:r>
        <w:rPr>
          <w:rFonts w:ascii="Times New Roman" w:hAnsi="Times New Roman" w:cs="Times New Roman"/>
          <w:kern w:val="0"/>
          <w:sz w:val="24"/>
        </w:rPr>
        <w:t>+</w:t>
      </w:r>
      <w:r>
        <w:rPr>
          <w:rFonts w:ascii="Times New Roman" w:hAnsi="宋体" w:cs="Times New Roman"/>
          <w:kern w:val="0"/>
          <w:sz w:val="24"/>
        </w:rPr>
        <w:t>四位年份代码</w:t>
      </w:r>
      <w:r>
        <w:rPr>
          <w:rFonts w:ascii="Times New Roman" w:hAnsi="Times New Roman" w:cs="Times New Roman"/>
          <w:kern w:val="0"/>
          <w:sz w:val="24"/>
        </w:rPr>
        <w:t>+</w:t>
      </w:r>
      <w:r>
        <w:rPr>
          <w:rFonts w:ascii="Times New Roman" w:hAnsi="宋体" w:cs="Times New Roman"/>
          <w:kern w:val="0"/>
          <w:sz w:val="24"/>
        </w:rPr>
        <w:t>四位顺序码。</w:t>
      </w:r>
    </w:p>
    <w:p>
      <w:pPr>
        <w:widowControl/>
        <w:snapToGrid w:val="0"/>
        <w:rPr>
          <w:rFonts w:ascii="Times New Roman" w:hAnsi="Times New Roman" w:cs="Times New Roman"/>
          <w:kern w:val="0"/>
          <w:sz w:val="24"/>
        </w:rPr>
      </w:pPr>
      <w:r>
        <w:rPr>
          <w:rFonts w:ascii="Times New Roman" w:hAnsi="Times New Roman" w:cs="Times New Roman"/>
          <w:kern w:val="0"/>
          <w:sz w:val="24"/>
        </w:rPr>
        <w:t>2</w:t>
      </w:r>
      <w:r>
        <w:rPr>
          <w:rFonts w:ascii="Times New Roman" w:hAnsi="宋体" w:cs="Times New Roman"/>
          <w:kern w:val="0"/>
          <w:sz w:val="24"/>
        </w:rPr>
        <w:t>、登记表的内容由银行填写并加盖公章后提交外汇局。</w:t>
      </w:r>
    </w:p>
    <w:p>
      <w:pPr>
        <w:widowControl/>
        <w:snapToGrid w:val="0"/>
        <w:rPr>
          <w:rFonts w:ascii="Times New Roman" w:hAnsi="Times New Roman" w:cs="Times New Roman"/>
          <w:kern w:val="0"/>
          <w:sz w:val="24"/>
        </w:rPr>
      </w:pPr>
      <w:r>
        <w:rPr>
          <w:rFonts w:ascii="Times New Roman" w:hAnsi="Times New Roman" w:cs="Times New Roman"/>
          <w:kern w:val="0"/>
          <w:sz w:val="24"/>
        </w:rPr>
        <w:t>3</w:t>
      </w:r>
      <w:r>
        <w:rPr>
          <w:rFonts w:ascii="Times New Roman" w:hAnsi="宋体" w:cs="Times New Roman"/>
          <w:kern w:val="0"/>
          <w:sz w:val="24"/>
        </w:rPr>
        <w:t>、</w:t>
      </w:r>
      <w:r>
        <w:rPr>
          <w:rFonts w:ascii="Times New Roman" w:hAnsi="Times New Roman" w:cs="Times New Roman"/>
          <w:kern w:val="0"/>
          <w:sz w:val="24"/>
        </w:rPr>
        <w:t>“</w:t>
      </w:r>
      <w:r>
        <w:rPr>
          <w:rFonts w:ascii="Times New Roman" w:hAnsi="宋体" w:cs="Times New Roman"/>
          <w:kern w:val="0"/>
          <w:sz w:val="24"/>
        </w:rPr>
        <w:t>衍生业务资格批准文件文号及日期</w:t>
      </w:r>
      <w:r>
        <w:rPr>
          <w:rFonts w:ascii="Times New Roman" w:hAnsi="Times New Roman" w:cs="Times New Roman"/>
          <w:kern w:val="0"/>
          <w:sz w:val="24"/>
        </w:rPr>
        <w:t>”</w:t>
      </w:r>
      <w:r>
        <w:rPr>
          <w:rFonts w:ascii="Times New Roman" w:hAnsi="宋体" w:cs="Times New Roman"/>
          <w:kern w:val="0"/>
          <w:sz w:val="24"/>
        </w:rPr>
        <w:t>为银监部门批准银行从事衍生品业务的批准文件文号及日期。</w:t>
      </w: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highlight w:val="cyan"/>
        </w:rPr>
      </w:pPr>
    </w:p>
    <w:p>
      <w:pPr>
        <w:widowControl/>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附录四</w:t>
      </w:r>
    </w:p>
    <w:p>
      <w:pPr>
        <w:widowControl/>
        <w:jc w:val="center"/>
        <w:rPr>
          <w:rFonts w:ascii="Times New Roman" w:hAnsi="黑体" w:eastAsia="黑体" w:cs="Times New Roman"/>
          <w:sz w:val="30"/>
          <w:szCs w:val="30"/>
        </w:rPr>
      </w:pPr>
    </w:p>
    <w:p>
      <w:pPr>
        <w:widowControl/>
        <w:jc w:val="center"/>
        <w:rPr>
          <w:rFonts w:ascii="Times New Roman" w:hAnsi="黑体" w:eastAsia="黑体" w:cs="Times New Roman"/>
          <w:sz w:val="30"/>
          <w:szCs w:val="30"/>
        </w:rPr>
      </w:pPr>
      <w:r>
        <w:rPr>
          <w:rFonts w:ascii="Times New Roman" w:hAnsi="黑体" w:eastAsia="黑体" w:cs="Times New Roman"/>
          <w:sz w:val="30"/>
          <w:szCs w:val="30"/>
        </w:rPr>
        <w:t>常见问题</w:t>
      </w:r>
    </w:p>
    <w:p>
      <w:pPr>
        <w:widowControl/>
        <w:jc w:val="center"/>
        <w:rPr>
          <w:rFonts w:ascii="Times New Roman" w:hAnsi="Times New Roman" w:eastAsia="黑体" w:cs="Times New Roman"/>
          <w:sz w:val="30"/>
          <w:szCs w:val="30"/>
        </w:rPr>
      </w:pPr>
    </w:p>
    <w:p>
      <w:pPr>
        <w:pStyle w:val="24"/>
        <w:ind w:firstLine="600"/>
        <w:rPr>
          <w:rFonts w:ascii="Times New Roman" w:hAnsi="Times New Roman" w:eastAsia="仿宋_GB2312"/>
          <w:bCs/>
          <w:kern w:val="0"/>
          <w:sz w:val="30"/>
          <w:szCs w:val="30"/>
        </w:rPr>
      </w:pPr>
      <w:r>
        <w:rPr>
          <w:rFonts w:ascii="Times New Roman" w:hAnsi="Times New Roman" w:eastAsia="仿宋_GB2312"/>
          <w:bCs/>
          <w:kern w:val="0"/>
          <w:sz w:val="30"/>
          <w:szCs w:val="30"/>
        </w:rPr>
        <w:t>问：银行以资金管理人身份吸收人民币结构性存款的，应在首次开办业务前多少个工作日到外汇局办理登记？</w:t>
      </w:r>
    </w:p>
    <w:p>
      <w:pPr>
        <w:ind w:firstLine="600" w:firstLineChars="200"/>
        <w:rPr>
          <w:rFonts w:ascii="Times New Roman" w:hAnsi="Times New Roman" w:eastAsia="华文仿宋" w:cs="Times New Roman"/>
        </w:rPr>
      </w:pPr>
      <w:r>
        <w:rPr>
          <w:rFonts w:ascii="Times New Roman" w:hAnsi="Times New Roman" w:eastAsia="仿宋_GB2312" w:cs="Times New Roman"/>
          <w:bCs/>
          <w:kern w:val="0"/>
          <w:sz w:val="30"/>
          <w:szCs w:val="30"/>
        </w:rPr>
        <w:t>答：银行以资金管理人身份吸收人民币结构性存款的，应在首次开办业务前15个工作日内到外汇局办理登记。</w:t>
      </w:r>
    </w:p>
    <w:sectPr>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1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9</w:t>
    </w:r>
    <w:r>
      <w:rPr>
        <w:lang w:val="zh-CN"/>
      </w:rPr>
      <w:fldChar w:fldCharType="end"/>
    </w:r>
  </w:p>
  <w:p>
    <w:pPr>
      <w:pStyle w:val="8"/>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611644894">
    <w:nsid w:val="600FBFDE"/>
    <w:multiLevelType w:val="singleLevel"/>
    <w:tmpl w:val="600FBFDE"/>
    <w:lvl w:ilvl="0" w:tentative="1">
      <w:start w:val="15"/>
      <w:numFmt w:val="chineseCounting"/>
      <w:suff w:val="nothing"/>
      <w:lvlText w:val="（%1）"/>
      <w:lvlJc w:val="left"/>
    </w:lvl>
  </w:abstractNum>
  <w:num w:numId="1">
    <w:abstractNumId w:val="161164489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131E"/>
    <w:rsid w:val="00003372"/>
    <w:rsid w:val="00022191"/>
    <w:rsid w:val="00023783"/>
    <w:rsid w:val="0003577E"/>
    <w:rsid w:val="00041960"/>
    <w:rsid w:val="00042B58"/>
    <w:rsid w:val="00054B00"/>
    <w:rsid w:val="00055270"/>
    <w:rsid w:val="00055C5C"/>
    <w:rsid w:val="0006560A"/>
    <w:rsid w:val="00072F8A"/>
    <w:rsid w:val="000750C8"/>
    <w:rsid w:val="00080630"/>
    <w:rsid w:val="00091661"/>
    <w:rsid w:val="00092D53"/>
    <w:rsid w:val="00096CBB"/>
    <w:rsid w:val="00097F7B"/>
    <w:rsid w:val="000B6901"/>
    <w:rsid w:val="000B728B"/>
    <w:rsid w:val="000C15B3"/>
    <w:rsid w:val="000C2B33"/>
    <w:rsid w:val="000D1995"/>
    <w:rsid w:val="000D7478"/>
    <w:rsid w:val="0012267E"/>
    <w:rsid w:val="0012271F"/>
    <w:rsid w:val="00130519"/>
    <w:rsid w:val="00135BEE"/>
    <w:rsid w:val="0014667A"/>
    <w:rsid w:val="00154B58"/>
    <w:rsid w:val="00157C64"/>
    <w:rsid w:val="00157E81"/>
    <w:rsid w:val="00170126"/>
    <w:rsid w:val="00177059"/>
    <w:rsid w:val="00181D3E"/>
    <w:rsid w:val="0018730B"/>
    <w:rsid w:val="00196FAE"/>
    <w:rsid w:val="001A3E49"/>
    <w:rsid w:val="001A72AA"/>
    <w:rsid w:val="001B1E2C"/>
    <w:rsid w:val="001C44C7"/>
    <w:rsid w:val="001C5F87"/>
    <w:rsid w:val="001C6298"/>
    <w:rsid w:val="001D65A2"/>
    <w:rsid w:val="001E1407"/>
    <w:rsid w:val="001E6F07"/>
    <w:rsid w:val="001F4BD4"/>
    <w:rsid w:val="001F7297"/>
    <w:rsid w:val="00205D07"/>
    <w:rsid w:val="00212F39"/>
    <w:rsid w:val="00217116"/>
    <w:rsid w:val="00231EED"/>
    <w:rsid w:val="00233841"/>
    <w:rsid w:val="00235F24"/>
    <w:rsid w:val="002417D2"/>
    <w:rsid w:val="00241FE8"/>
    <w:rsid w:val="0024527E"/>
    <w:rsid w:val="00252C70"/>
    <w:rsid w:val="00253F7B"/>
    <w:rsid w:val="00263B1F"/>
    <w:rsid w:val="00272327"/>
    <w:rsid w:val="00291C17"/>
    <w:rsid w:val="0029313A"/>
    <w:rsid w:val="002A654A"/>
    <w:rsid w:val="002B0B1C"/>
    <w:rsid w:val="002B598D"/>
    <w:rsid w:val="002B61C1"/>
    <w:rsid w:val="002E1323"/>
    <w:rsid w:val="002E4F44"/>
    <w:rsid w:val="002F3868"/>
    <w:rsid w:val="00302119"/>
    <w:rsid w:val="00302E87"/>
    <w:rsid w:val="00310261"/>
    <w:rsid w:val="00343044"/>
    <w:rsid w:val="003444EC"/>
    <w:rsid w:val="00344B01"/>
    <w:rsid w:val="00353AC4"/>
    <w:rsid w:val="0035768F"/>
    <w:rsid w:val="003616B4"/>
    <w:rsid w:val="00385E73"/>
    <w:rsid w:val="003A57B2"/>
    <w:rsid w:val="003C7132"/>
    <w:rsid w:val="003D77A5"/>
    <w:rsid w:val="003E627D"/>
    <w:rsid w:val="003E6BF6"/>
    <w:rsid w:val="003F221D"/>
    <w:rsid w:val="003F3097"/>
    <w:rsid w:val="003F6BFA"/>
    <w:rsid w:val="003F761E"/>
    <w:rsid w:val="00402AE8"/>
    <w:rsid w:val="00405FE6"/>
    <w:rsid w:val="004105BC"/>
    <w:rsid w:val="004204D5"/>
    <w:rsid w:val="00421C27"/>
    <w:rsid w:val="004245D7"/>
    <w:rsid w:val="00426B97"/>
    <w:rsid w:val="00440A1F"/>
    <w:rsid w:val="00443603"/>
    <w:rsid w:val="00443604"/>
    <w:rsid w:val="004501EA"/>
    <w:rsid w:val="00460436"/>
    <w:rsid w:val="00460458"/>
    <w:rsid w:val="0046792D"/>
    <w:rsid w:val="004713B8"/>
    <w:rsid w:val="00475373"/>
    <w:rsid w:val="004767DF"/>
    <w:rsid w:val="00476DD2"/>
    <w:rsid w:val="00493CCC"/>
    <w:rsid w:val="004A0218"/>
    <w:rsid w:val="004A7840"/>
    <w:rsid w:val="004B45CC"/>
    <w:rsid w:val="004B545A"/>
    <w:rsid w:val="004B7E80"/>
    <w:rsid w:val="004C39E6"/>
    <w:rsid w:val="004C457E"/>
    <w:rsid w:val="004C48D5"/>
    <w:rsid w:val="004D03B7"/>
    <w:rsid w:val="004D1436"/>
    <w:rsid w:val="004D57AE"/>
    <w:rsid w:val="005056D4"/>
    <w:rsid w:val="00526B2B"/>
    <w:rsid w:val="005362B0"/>
    <w:rsid w:val="00542447"/>
    <w:rsid w:val="0055392E"/>
    <w:rsid w:val="00557FD0"/>
    <w:rsid w:val="00564312"/>
    <w:rsid w:val="00587270"/>
    <w:rsid w:val="0059362C"/>
    <w:rsid w:val="005A177F"/>
    <w:rsid w:val="005A2981"/>
    <w:rsid w:val="005A399B"/>
    <w:rsid w:val="005C6937"/>
    <w:rsid w:val="005C7F02"/>
    <w:rsid w:val="005E17B6"/>
    <w:rsid w:val="005E2F8D"/>
    <w:rsid w:val="005F0A86"/>
    <w:rsid w:val="005F144A"/>
    <w:rsid w:val="005F1C00"/>
    <w:rsid w:val="00610F90"/>
    <w:rsid w:val="006126C1"/>
    <w:rsid w:val="0061621E"/>
    <w:rsid w:val="00630AA8"/>
    <w:rsid w:val="00630B2E"/>
    <w:rsid w:val="00643D2A"/>
    <w:rsid w:val="00664E11"/>
    <w:rsid w:val="00673B30"/>
    <w:rsid w:val="00683462"/>
    <w:rsid w:val="00696E5D"/>
    <w:rsid w:val="006B2586"/>
    <w:rsid w:val="006B5B86"/>
    <w:rsid w:val="006C5908"/>
    <w:rsid w:val="006C633E"/>
    <w:rsid w:val="006D734F"/>
    <w:rsid w:val="006E043F"/>
    <w:rsid w:val="006E4695"/>
    <w:rsid w:val="006E4B8B"/>
    <w:rsid w:val="006E5901"/>
    <w:rsid w:val="0071091C"/>
    <w:rsid w:val="00714961"/>
    <w:rsid w:val="007337C5"/>
    <w:rsid w:val="00744BD5"/>
    <w:rsid w:val="00745748"/>
    <w:rsid w:val="00750E36"/>
    <w:rsid w:val="00753CB0"/>
    <w:rsid w:val="00755460"/>
    <w:rsid w:val="00761FB7"/>
    <w:rsid w:val="00762107"/>
    <w:rsid w:val="00764CB9"/>
    <w:rsid w:val="00765B05"/>
    <w:rsid w:val="00785F45"/>
    <w:rsid w:val="00794A6B"/>
    <w:rsid w:val="007A2780"/>
    <w:rsid w:val="007A68EA"/>
    <w:rsid w:val="007B06FC"/>
    <w:rsid w:val="007B0FEF"/>
    <w:rsid w:val="007B2DB5"/>
    <w:rsid w:val="007D2C11"/>
    <w:rsid w:val="007D6171"/>
    <w:rsid w:val="007D69EA"/>
    <w:rsid w:val="007E2C7B"/>
    <w:rsid w:val="007E411B"/>
    <w:rsid w:val="007F0863"/>
    <w:rsid w:val="007F2F3B"/>
    <w:rsid w:val="007F3138"/>
    <w:rsid w:val="00802307"/>
    <w:rsid w:val="00805C6A"/>
    <w:rsid w:val="0082168E"/>
    <w:rsid w:val="00821968"/>
    <w:rsid w:val="008471B6"/>
    <w:rsid w:val="00851521"/>
    <w:rsid w:val="0085686A"/>
    <w:rsid w:val="00860878"/>
    <w:rsid w:val="008731FF"/>
    <w:rsid w:val="00876D26"/>
    <w:rsid w:val="0088294A"/>
    <w:rsid w:val="0089282A"/>
    <w:rsid w:val="008A4538"/>
    <w:rsid w:val="008A704B"/>
    <w:rsid w:val="008B08D2"/>
    <w:rsid w:val="008B4EE5"/>
    <w:rsid w:val="008B5807"/>
    <w:rsid w:val="008D5FA0"/>
    <w:rsid w:val="008E2D38"/>
    <w:rsid w:val="008F5724"/>
    <w:rsid w:val="00902633"/>
    <w:rsid w:val="009027D8"/>
    <w:rsid w:val="0090372F"/>
    <w:rsid w:val="00904365"/>
    <w:rsid w:val="00911E27"/>
    <w:rsid w:val="00913EA6"/>
    <w:rsid w:val="0092129A"/>
    <w:rsid w:val="00925BB2"/>
    <w:rsid w:val="00930C8C"/>
    <w:rsid w:val="00933798"/>
    <w:rsid w:val="0093485D"/>
    <w:rsid w:val="0093562D"/>
    <w:rsid w:val="009360EA"/>
    <w:rsid w:val="00943B6D"/>
    <w:rsid w:val="00944AD7"/>
    <w:rsid w:val="0094694C"/>
    <w:rsid w:val="00947C57"/>
    <w:rsid w:val="00951149"/>
    <w:rsid w:val="00960EDB"/>
    <w:rsid w:val="009622DB"/>
    <w:rsid w:val="00964B7F"/>
    <w:rsid w:val="009664BC"/>
    <w:rsid w:val="00980F02"/>
    <w:rsid w:val="00991B77"/>
    <w:rsid w:val="00997523"/>
    <w:rsid w:val="009A0C5D"/>
    <w:rsid w:val="009C4672"/>
    <w:rsid w:val="009C491B"/>
    <w:rsid w:val="009D0911"/>
    <w:rsid w:val="009D24F8"/>
    <w:rsid w:val="009D688C"/>
    <w:rsid w:val="009F7A36"/>
    <w:rsid w:val="00A249C2"/>
    <w:rsid w:val="00A24FAB"/>
    <w:rsid w:val="00A26D7A"/>
    <w:rsid w:val="00A301E7"/>
    <w:rsid w:val="00A40838"/>
    <w:rsid w:val="00A42E69"/>
    <w:rsid w:val="00A45CA7"/>
    <w:rsid w:val="00A51415"/>
    <w:rsid w:val="00A6014E"/>
    <w:rsid w:val="00A60356"/>
    <w:rsid w:val="00A71B3E"/>
    <w:rsid w:val="00A71B7E"/>
    <w:rsid w:val="00A81DF1"/>
    <w:rsid w:val="00A90EF3"/>
    <w:rsid w:val="00AA7717"/>
    <w:rsid w:val="00AB131E"/>
    <w:rsid w:val="00AB142C"/>
    <w:rsid w:val="00AB644F"/>
    <w:rsid w:val="00AC3F5E"/>
    <w:rsid w:val="00AD114B"/>
    <w:rsid w:val="00AE416D"/>
    <w:rsid w:val="00AE7ACF"/>
    <w:rsid w:val="00B06409"/>
    <w:rsid w:val="00B17D66"/>
    <w:rsid w:val="00B35D3A"/>
    <w:rsid w:val="00B40A6C"/>
    <w:rsid w:val="00B422F1"/>
    <w:rsid w:val="00B71531"/>
    <w:rsid w:val="00B730D9"/>
    <w:rsid w:val="00B7456C"/>
    <w:rsid w:val="00B84131"/>
    <w:rsid w:val="00B8630E"/>
    <w:rsid w:val="00B931F4"/>
    <w:rsid w:val="00B95573"/>
    <w:rsid w:val="00B96395"/>
    <w:rsid w:val="00BA2AF8"/>
    <w:rsid w:val="00BB2650"/>
    <w:rsid w:val="00BB48C2"/>
    <w:rsid w:val="00BB5BDC"/>
    <w:rsid w:val="00BB7B76"/>
    <w:rsid w:val="00BC2656"/>
    <w:rsid w:val="00BD233D"/>
    <w:rsid w:val="00BD2A77"/>
    <w:rsid w:val="00BF039C"/>
    <w:rsid w:val="00BF4EF0"/>
    <w:rsid w:val="00C02E44"/>
    <w:rsid w:val="00C054EE"/>
    <w:rsid w:val="00C147D2"/>
    <w:rsid w:val="00C2075F"/>
    <w:rsid w:val="00C23799"/>
    <w:rsid w:val="00C274C9"/>
    <w:rsid w:val="00C31E02"/>
    <w:rsid w:val="00C54291"/>
    <w:rsid w:val="00C672C3"/>
    <w:rsid w:val="00C712B2"/>
    <w:rsid w:val="00C86E41"/>
    <w:rsid w:val="00C97FED"/>
    <w:rsid w:val="00CA1DBB"/>
    <w:rsid w:val="00CA2622"/>
    <w:rsid w:val="00CA7C0C"/>
    <w:rsid w:val="00CA7F2C"/>
    <w:rsid w:val="00CA7FF8"/>
    <w:rsid w:val="00CB5DE7"/>
    <w:rsid w:val="00CC068D"/>
    <w:rsid w:val="00CC20FD"/>
    <w:rsid w:val="00CC4922"/>
    <w:rsid w:val="00CD1FF6"/>
    <w:rsid w:val="00CD2EF8"/>
    <w:rsid w:val="00CE25C7"/>
    <w:rsid w:val="00CE3335"/>
    <w:rsid w:val="00CE4849"/>
    <w:rsid w:val="00CE5C8E"/>
    <w:rsid w:val="00CE5F49"/>
    <w:rsid w:val="00D01626"/>
    <w:rsid w:val="00D04E1B"/>
    <w:rsid w:val="00D17A44"/>
    <w:rsid w:val="00D33A4D"/>
    <w:rsid w:val="00D33F76"/>
    <w:rsid w:val="00D41F5E"/>
    <w:rsid w:val="00D43DC0"/>
    <w:rsid w:val="00D47D32"/>
    <w:rsid w:val="00D54E56"/>
    <w:rsid w:val="00D6407D"/>
    <w:rsid w:val="00D67CAC"/>
    <w:rsid w:val="00D93E78"/>
    <w:rsid w:val="00DB304F"/>
    <w:rsid w:val="00DB4F92"/>
    <w:rsid w:val="00DC6E91"/>
    <w:rsid w:val="00DC700C"/>
    <w:rsid w:val="00DC7514"/>
    <w:rsid w:val="00DD3845"/>
    <w:rsid w:val="00DF32AC"/>
    <w:rsid w:val="00DF65A3"/>
    <w:rsid w:val="00E002F1"/>
    <w:rsid w:val="00E1687A"/>
    <w:rsid w:val="00E20A2E"/>
    <w:rsid w:val="00E277DE"/>
    <w:rsid w:val="00E27EE9"/>
    <w:rsid w:val="00E3239D"/>
    <w:rsid w:val="00E3439B"/>
    <w:rsid w:val="00E42C5F"/>
    <w:rsid w:val="00E50D1A"/>
    <w:rsid w:val="00E53418"/>
    <w:rsid w:val="00E65A1B"/>
    <w:rsid w:val="00E72F1F"/>
    <w:rsid w:val="00E934AB"/>
    <w:rsid w:val="00EA06AC"/>
    <w:rsid w:val="00EA08BF"/>
    <w:rsid w:val="00EA24FB"/>
    <w:rsid w:val="00EA3345"/>
    <w:rsid w:val="00EB3204"/>
    <w:rsid w:val="00EB50BA"/>
    <w:rsid w:val="00EC3D33"/>
    <w:rsid w:val="00ED302A"/>
    <w:rsid w:val="00ED3A42"/>
    <w:rsid w:val="00EE02BC"/>
    <w:rsid w:val="00EE6970"/>
    <w:rsid w:val="00EF38D0"/>
    <w:rsid w:val="00EF3DDF"/>
    <w:rsid w:val="00EF4A8C"/>
    <w:rsid w:val="00F003D1"/>
    <w:rsid w:val="00F17C1C"/>
    <w:rsid w:val="00F23FBB"/>
    <w:rsid w:val="00F2678C"/>
    <w:rsid w:val="00F27B38"/>
    <w:rsid w:val="00F40278"/>
    <w:rsid w:val="00F41832"/>
    <w:rsid w:val="00F41ABD"/>
    <w:rsid w:val="00F426D0"/>
    <w:rsid w:val="00F45AC2"/>
    <w:rsid w:val="00F56988"/>
    <w:rsid w:val="00F620FB"/>
    <w:rsid w:val="00F6571F"/>
    <w:rsid w:val="00F75451"/>
    <w:rsid w:val="00F8255C"/>
    <w:rsid w:val="00F8687E"/>
    <w:rsid w:val="00F90E20"/>
    <w:rsid w:val="00F93331"/>
    <w:rsid w:val="00F95549"/>
    <w:rsid w:val="00FA04A8"/>
    <w:rsid w:val="00FA1E24"/>
    <w:rsid w:val="00FA24FB"/>
    <w:rsid w:val="00FA632B"/>
    <w:rsid w:val="00FB38EA"/>
    <w:rsid w:val="00FB5E0F"/>
    <w:rsid w:val="00FB6AFF"/>
    <w:rsid w:val="00FC4D8F"/>
    <w:rsid w:val="00FC6A5C"/>
    <w:rsid w:val="00FD06D3"/>
    <w:rsid w:val="00FD7B59"/>
    <w:rsid w:val="00FE3157"/>
    <w:rsid w:val="00FE6865"/>
    <w:rsid w:val="00FE6993"/>
    <w:rsid w:val="00FF4448"/>
    <w:rsid w:val="08065B07"/>
    <w:rsid w:val="23B316F2"/>
    <w:rsid w:val="3B017029"/>
    <w:rsid w:val="4A9A3318"/>
    <w:rsid w:val="721E4984"/>
    <w:rsid w:val="73A45F41"/>
  </w:rsids>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6"/>
        <o:r id="V:Rule2" type="connector" idref="#AutoShape 7"/>
        <o:r id="V:Rule3" type="connector" idref="#AutoShape 8"/>
        <o:r id="V:Rule4" type="connector" idref="#AutoShape 9"/>
        <o:r id="V:Rule5" type="connector" idref="#AutoShape 10"/>
        <o:r id="V:Rule6" type="connector" idref="#AutoShape 12"/>
        <o:r id="V:Rule7" type="connector" idref="#AutoShape 14"/>
        <o:r id="V:Rule8" type="connector" idref="#AutoShape 16"/>
        <o:r id="V:Rule9" type="connector" idref="#AutoShape 23"/>
        <o:r id="V:Rule10" type="connector" idref="#AutoShape 24"/>
        <o:r id="V:Rule11" type="connector" idref="#AutoShape 26"/>
        <o:r id="V:Rule12" type="connector" idref="#AutoShape 27"/>
        <o:r id="V:Rule13" type="connector" idref="#AutoShape 30"/>
        <o:r id="V:Rule14" type="connector" idref="#AutoShape 31"/>
        <o:r id="V:Rule15" type="connector" idref="#AutoShape 32"/>
        <o:r id="V:Rule16" type="connector" idref="#AutoShape 35"/>
      </o:rules>
    </o:shapelayout>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2"/>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3"/>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4"/>
    <w:qFormat/>
    <w:uiPriority w:val="9"/>
    <w:pPr>
      <w:ind w:right="300"/>
      <w:outlineLvl w:val="2"/>
    </w:pPr>
    <w:rPr>
      <w:rFonts w:ascii="仿宋_GB2312" w:hAnsi="Calibri" w:eastAsia="仿宋_GB2312" w:cs="Times New Roman"/>
      <w:sz w:val="30"/>
      <w:szCs w:val="30"/>
    </w:rPr>
  </w:style>
  <w:style w:type="character" w:default="1" w:styleId="13">
    <w:name w:val="Default Paragraph Font"/>
    <w:unhideWhenUsed/>
    <w:uiPriority w:val="1"/>
  </w:style>
  <w:style w:type="table" w:default="1" w:styleId="17">
    <w:name w:val="Normal Table"/>
    <w:unhideWhenUsed/>
    <w:qFormat/>
    <w:uiPriority w:val="99"/>
    <w:tblPr>
      <w:tblStyle w:val="17"/>
      <w:tblLayout w:type="fixed"/>
      <w:tblCellMar>
        <w:top w:w="0" w:type="dxa"/>
        <w:left w:w="108" w:type="dxa"/>
        <w:bottom w:w="0" w:type="dxa"/>
        <w:right w:w="108" w:type="dxa"/>
      </w:tblCellMar>
    </w:tblPr>
    <w:tcPr>
      <w:textDirection w:val="lrTb"/>
    </w:tcPr>
  </w:style>
  <w:style w:type="paragraph" w:styleId="5">
    <w:name w:val="Document Map"/>
    <w:basedOn w:val="1"/>
    <w:link w:val="38"/>
    <w:unhideWhenUsed/>
    <w:qFormat/>
    <w:uiPriority w:val="0"/>
    <w:rPr>
      <w:rFonts w:ascii="宋体"/>
      <w:sz w:val="18"/>
      <w:szCs w:val="18"/>
    </w:rPr>
  </w:style>
  <w:style w:type="paragraph" w:styleId="6">
    <w:name w:val="annotation text"/>
    <w:basedOn w:val="1"/>
    <w:link w:val="31"/>
    <w:unhideWhenUsed/>
    <w:uiPriority w:val="99"/>
    <w:pPr>
      <w:jc w:val="left"/>
    </w:pPr>
    <w:rPr>
      <w:rFonts w:ascii="Calibri" w:hAnsi="Calibri" w:eastAsia="宋体" w:cs="Times New Roman"/>
    </w:rPr>
  </w:style>
  <w:style w:type="paragraph" w:styleId="7">
    <w:name w:val="Balloon Text"/>
    <w:basedOn w:val="1"/>
    <w:link w:val="29"/>
    <w:unhideWhenUsed/>
    <w:uiPriority w:val="0"/>
    <w:rPr>
      <w:sz w:val="18"/>
      <w:szCs w:val="18"/>
    </w:rPr>
  </w:style>
  <w:style w:type="paragraph" w:styleId="8">
    <w:name w:val="footer"/>
    <w:basedOn w:val="1"/>
    <w:link w:val="28"/>
    <w:unhideWhenUsed/>
    <w:uiPriority w:val="99"/>
    <w:pPr>
      <w:tabs>
        <w:tab w:val="center" w:pos="4153"/>
        <w:tab w:val="right" w:pos="8306"/>
      </w:tabs>
      <w:snapToGrid w:val="0"/>
      <w:jc w:val="left"/>
    </w:pPr>
    <w:rPr>
      <w:sz w:val="18"/>
      <w:szCs w:val="18"/>
    </w:rPr>
  </w:style>
  <w:style w:type="paragraph" w:styleId="9">
    <w:name w:val="header"/>
    <w:basedOn w:val="1"/>
    <w:link w:val="27"/>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6"/>
    <w:semiHidden/>
    <w:qFormat/>
    <w:uiPriority w:val="0"/>
    <w:pPr>
      <w:snapToGrid w:val="0"/>
      <w:jc w:val="left"/>
    </w:pPr>
    <w:rPr>
      <w:rFonts w:ascii="Times New Roman" w:hAnsi="Times New Roman"/>
      <w:sz w:val="18"/>
      <w:szCs w:val="18"/>
    </w:rPr>
  </w:style>
  <w:style w:type="paragraph" w:styleId="11">
    <w:name w:val="HTML Preformatted"/>
    <w:basedOn w:val="1"/>
    <w:link w:val="30"/>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table" w:styleId="18">
    <w:name w:val="Table Grid"/>
    <w:basedOn w:val="17"/>
    <w:uiPriority w:val="59"/>
    <w:pPr/>
    <w:tblPr>
      <w:tblStyle w:val="17"/>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cPr>
      <w:textDirection w:val="lrTb"/>
    </w:tcPr>
  </w:style>
  <w:style w:type="paragraph" w:customStyle="1" w:styleId="19">
    <w:name w:val="List Paragraph"/>
    <w:basedOn w:val="1"/>
    <w:qFormat/>
    <w:uiPriority w:val="34"/>
    <w:pPr>
      <w:ind w:firstLine="420" w:firstLineChars="200"/>
    </w:pPr>
  </w:style>
  <w:style w:type="paragraph" w:customStyle="1" w:styleId="20">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1">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2">
    <w:name w:val="Revision"/>
    <w:hidden/>
    <w:semiHidden/>
    <w:qFormat/>
    <w:uiPriority w:val="99"/>
    <w:rPr>
      <w:rFonts w:ascii="Calibri" w:hAnsi="Calibri" w:eastAsia="宋体" w:cs="黑体"/>
      <w:kern w:val="2"/>
      <w:sz w:val="21"/>
      <w:szCs w:val="22"/>
      <w:lang w:val="en-US" w:eastAsia="zh-CN" w:bidi="ar-SA"/>
    </w:rPr>
  </w:style>
  <w:style w:type="paragraph" w:customStyle="1" w:styleId="23">
    <w:name w:val="列出段落1"/>
    <w:basedOn w:val="1"/>
    <w:qFormat/>
    <w:uiPriority w:val="34"/>
    <w:pPr>
      <w:ind w:firstLine="420" w:firstLineChars="200"/>
    </w:pPr>
    <w:rPr>
      <w:rFonts w:ascii="Calibri" w:hAnsi="Calibri" w:eastAsia="宋体" w:cs="Times New Roman"/>
    </w:rPr>
  </w:style>
  <w:style w:type="paragraph" w:customStyle="1" w:styleId="24">
    <w:name w:val="列出段落4"/>
    <w:basedOn w:val="1"/>
    <w:qFormat/>
    <w:uiPriority w:val="0"/>
    <w:pPr>
      <w:ind w:firstLine="200" w:firstLineChars="200"/>
    </w:pPr>
    <w:rPr>
      <w:rFonts w:ascii="Calibri" w:hAnsi="Calibri" w:eastAsia="宋体" w:cs="Times New Roman"/>
    </w:rPr>
  </w:style>
  <w:style w:type="paragraph" w:customStyle="1" w:styleId="25">
    <w:name w:val="列出段落3"/>
    <w:basedOn w:val="1"/>
    <w:qFormat/>
    <w:uiPriority w:val="0"/>
    <w:pPr>
      <w:ind w:firstLine="420" w:firstLineChars="200"/>
    </w:pPr>
    <w:rPr>
      <w:rFonts w:ascii="Times New Roman" w:hAnsi="Times New Roman" w:eastAsia="宋体" w:cs="Times New Roman"/>
      <w:szCs w:val="24"/>
    </w:rPr>
  </w:style>
  <w:style w:type="paragraph" w:customStyle="1" w:styleId="26">
    <w:name w:val="p0"/>
    <w:basedOn w:val="1"/>
    <w:qFormat/>
    <w:uiPriority w:val="0"/>
    <w:pPr>
      <w:widowControl/>
    </w:pPr>
    <w:rPr>
      <w:rFonts w:ascii="Calibri" w:hAnsi="Calibri" w:eastAsia="宋体" w:cs="宋体"/>
      <w:kern w:val="0"/>
      <w:szCs w:val="21"/>
    </w:rPr>
  </w:style>
  <w:style w:type="character" w:customStyle="1" w:styleId="27">
    <w:name w:val="页眉 Char"/>
    <w:basedOn w:val="13"/>
    <w:link w:val="9"/>
    <w:uiPriority w:val="99"/>
    <w:rPr>
      <w:sz w:val="18"/>
      <w:szCs w:val="18"/>
    </w:rPr>
  </w:style>
  <w:style w:type="character" w:customStyle="1" w:styleId="28">
    <w:name w:val="页脚 Char"/>
    <w:basedOn w:val="13"/>
    <w:link w:val="8"/>
    <w:uiPriority w:val="99"/>
    <w:rPr>
      <w:sz w:val="18"/>
      <w:szCs w:val="18"/>
    </w:rPr>
  </w:style>
  <w:style w:type="character" w:customStyle="1" w:styleId="29">
    <w:name w:val="批注框文本 Char"/>
    <w:basedOn w:val="13"/>
    <w:link w:val="7"/>
    <w:semiHidden/>
    <w:uiPriority w:val="0"/>
    <w:rPr>
      <w:sz w:val="18"/>
      <w:szCs w:val="18"/>
    </w:rPr>
  </w:style>
  <w:style w:type="character" w:customStyle="1" w:styleId="30">
    <w:name w:val="HTML 预设格式 Char"/>
    <w:basedOn w:val="13"/>
    <w:link w:val="11"/>
    <w:uiPriority w:val="99"/>
    <w:rPr>
      <w:rFonts w:ascii="宋体" w:hAnsi="宋体" w:eastAsia="宋体" w:cs="宋体"/>
      <w:kern w:val="0"/>
      <w:sz w:val="24"/>
      <w:szCs w:val="24"/>
    </w:rPr>
  </w:style>
  <w:style w:type="character" w:customStyle="1" w:styleId="31">
    <w:name w:val="批注文字 Char"/>
    <w:basedOn w:val="13"/>
    <w:link w:val="6"/>
    <w:semiHidden/>
    <w:uiPriority w:val="0"/>
    <w:rPr>
      <w:rFonts w:ascii="Calibri" w:hAnsi="Calibri" w:eastAsia="宋体" w:cs="Times New Roman"/>
    </w:rPr>
  </w:style>
  <w:style w:type="character" w:customStyle="1" w:styleId="32">
    <w:name w:val="标题 1 Char"/>
    <w:basedOn w:val="13"/>
    <w:link w:val="2"/>
    <w:qFormat/>
    <w:uiPriority w:val="9"/>
    <w:rPr>
      <w:rFonts w:ascii="黑体" w:hAnsi="黑体" w:eastAsia="黑体" w:cs="宋体"/>
      <w:color w:val="000000"/>
      <w:kern w:val="0"/>
      <w:sz w:val="30"/>
      <w:szCs w:val="30"/>
    </w:rPr>
  </w:style>
  <w:style w:type="character" w:customStyle="1" w:styleId="33">
    <w:name w:val="标题 2 Char"/>
    <w:basedOn w:val="13"/>
    <w:link w:val="3"/>
    <w:qFormat/>
    <w:uiPriority w:val="0"/>
    <w:rPr>
      <w:rFonts w:ascii="Cambria" w:hAnsi="Cambria" w:eastAsia="宋体" w:cs="Times New Roman"/>
      <w:b/>
      <w:bCs/>
      <w:sz w:val="32"/>
      <w:szCs w:val="32"/>
    </w:rPr>
  </w:style>
  <w:style w:type="character" w:customStyle="1" w:styleId="34">
    <w:name w:val="标题 3 Char"/>
    <w:basedOn w:val="13"/>
    <w:link w:val="4"/>
    <w:qFormat/>
    <w:uiPriority w:val="9"/>
    <w:rPr>
      <w:rFonts w:ascii="仿宋_GB2312" w:hAnsi="Calibri" w:eastAsia="仿宋_GB2312" w:cs="Times New Roman"/>
      <w:sz w:val="30"/>
      <w:szCs w:val="30"/>
    </w:rPr>
  </w:style>
  <w:style w:type="character" w:customStyle="1" w:styleId="35">
    <w:name w:val="脚注文本 Char"/>
    <w:basedOn w:val="13"/>
    <w:semiHidden/>
    <w:uiPriority w:val="99"/>
    <w:rPr>
      <w:kern w:val="2"/>
      <w:sz w:val="18"/>
      <w:szCs w:val="18"/>
    </w:rPr>
  </w:style>
  <w:style w:type="character" w:customStyle="1" w:styleId="36">
    <w:name w:val="脚注文本 Char1"/>
    <w:basedOn w:val="13"/>
    <w:link w:val="10"/>
    <w:semiHidden/>
    <w:qFormat/>
    <w:uiPriority w:val="0"/>
    <w:rPr>
      <w:rFonts w:ascii="Times New Roman" w:hAnsi="Times New Roman"/>
      <w:sz w:val="18"/>
      <w:szCs w:val="18"/>
    </w:rPr>
  </w:style>
  <w:style w:type="character" w:customStyle="1" w:styleId="37">
    <w:name w:val="标题 4 Char Char"/>
    <w:qFormat/>
    <w:uiPriority w:val="0"/>
    <w:rPr>
      <w:rFonts w:ascii="Calibri" w:hAnsi="Calibri"/>
      <w:b/>
      <w:bCs/>
      <w:sz w:val="28"/>
      <w:szCs w:val="28"/>
      <w:lang w:eastAsia="en-US" w:bidi="en-US"/>
    </w:rPr>
  </w:style>
  <w:style w:type="character" w:customStyle="1" w:styleId="38">
    <w:name w:val="文档结构图 Char"/>
    <w:basedOn w:val="13"/>
    <w:link w:val="5"/>
    <w:qFormat/>
    <w:uiPriority w:val="0"/>
    <w:rPr>
      <w:rFonts w:ascii="宋体"/>
      <w:sz w:val="18"/>
      <w:szCs w:val="18"/>
    </w:rPr>
  </w:style>
  <w:style w:type="character" w:customStyle="1" w:styleId="39">
    <w:name w:val="批注文字 Char1"/>
    <w:basedOn w:val="13"/>
    <w:semiHidden/>
    <w:qFormat/>
    <w:uiPriority w:val="99"/>
    <w:rPr>
      <w:kern w:val="2"/>
      <w:sz w:val="21"/>
      <w:szCs w:val="22"/>
    </w:rPr>
  </w:style>
  <w:style w:type="character" w:customStyle="1" w:styleId="40">
    <w:name w:val="Intense Emphasis"/>
    <w:basedOn w:val="13"/>
    <w:qFormat/>
    <w:uiPriority w:val="21"/>
    <w:rPr>
      <w:b/>
      <w:bCs/>
      <w:i/>
      <w:iCs/>
      <w:color w:val="4F81BD"/>
    </w:rPr>
  </w:style>
  <w:style w:type="character" w:customStyle="1" w:styleId="41">
    <w:name w:val="文档结构图 Char1"/>
    <w:basedOn w:val="13"/>
    <w:semiHidden/>
    <w:qFormat/>
    <w:uiPriority w:val="99"/>
    <w:rPr>
      <w:rFonts w:ascii="宋体" w:eastAsia="宋体"/>
      <w:sz w:val="18"/>
      <w:szCs w:val="18"/>
    </w:rPr>
  </w:style>
  <w:style w:type="character" w:customStyle="1" w:styleId="42">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424</Words>
  <Characters>2417</Characters>
  <Lines>20</Lines>
  <Paragraphs>5</Paragraphs>
  <ScaleCrop>false</ScaleCrop>
  <LinksUpToDate>false</LinksUpToDate>
  <CharactersWithSpaces>0</CharactersWithSpaces>
  <Application>WPS Office 专业版_9.1.0.4940_F1E327BC-269C-435d-A152-05C5408002CA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2020-02-26T08:14:00Z</dcterms:created>
  <dc:creator>裴建君2</dc:creator>
  <cp:lastModifiedBy>孙保民</cp:lastModifiedBy>
  <cp:lastPrinted>2017-11-24T00:22:00Z</cp:lastPrinted>
  <dcterms:modified xsi:type="dcterms:W3CDTF">2021-02-07T07:48:46Z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