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png" Extension="png"/>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编号：57001-1              </w:t>
      </w:r>
      <w:r>
        <w:rPr>
          <w:rFonts w:ascii="Times New Roman" w:hAnsi="Times New Roman" w:eastAsia="黑体" w:cs="Times New Roman"/>
          <w:kern w:val="2"/>
          <w:sz w:val="48"/>
          <w:szCs w:val="48"/>
          <w:lang w:val="en-US" w:eastAsia="zh-CN" w:bidi="ar-SA"/>
        </w:rPr>
        <w:pict>
          <v:shape id="图片 1" o:spid="_x0000_s1026" type="#_x0000_t75" style="height:69.6pt;width:86.9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“进口单位名录登记”</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7</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w:t>
      </w:r>
      <w:bookmarkStart w:id="0" w:name="_GoBack"/>
      <w:bookmarkEnd w:id="0"/>
      <w:r>
        <w:rPr>
          <w:rFonts w:ascii="Times New Roman" w:hAnsi="Times New Roman" w:eastAsia="仿宋_GB2312" w:cs="Times New Roman"/>
          <w:sz w:val="30"/>
          <w:szCs w:val="30"/>
        </w:rPr>
        <w:t>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青海省分局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5" w:type="first"/>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项目名称：进口单位进口付汇核查；</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子项名称：进口单位名录登记；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本指南适用于“进口单位名录登记”的申请和办理。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（二）《国务院对确需保留的行政审批项目设定行政许可的决定》（国务院令第412号）附件第490项“进口单位进口付汇备案核准”。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（二）《国家外汇管理局关于印发货物贸易外汇管理法规有关问题的通知》（汇发〔2012〕38号）；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（三）《国家外汇管理局关于进一步促进跨境贸易投资便利化的通知》（汇发〔2019〕28号）。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支付机构外汇业务管理办法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的通知》（汇发〔2019〕13号）。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（五）《国家外汇管理局关于支持贸易新业态发展的通知》（汇发〔2020〕11号）；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（六）《国家外汇管理局关于印发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经常项目外汇业务指引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2020年版</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的通知》（汇发〔2020〕14号）。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申请人注册所在地国家外汇管理局分支局（支付机构限于分局）。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申请人注册所在地国家外汇管理局分支局（支付机构、审核交易电子信息的银行限于分局）。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新办条件。申请人为具有真实货物贸易外汇收支业务需求的企业（其他境内机构或个人对外贸易经营者确有客观需要开展货物贸易外汇收支业务的，可参照企业的有关规定办理）。其中：支付机构应具有支付业务合法资质，并符合《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支付机构外汇业务管理办法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的通知》（汇发〔2019〕13号）的相关要求。审核交易电子信息的银行应符合《国家外汇管理局关于支持贸易新业态发展的通知》（汇发〔2020〕11号）的相关要求。</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变更条件。支付机构变更公司名称、实际控制人或法定代表人等公司基本信息，应于变更后30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注销条件。支付机构1.被行业主管部门终止支付业务；2.支付机构主动终止外汇业务，发生下列情况之一应在5个工作日内向注册地分局提出注销登记申请及终止外汇业务方案。业务处置完毕后，外汇局注销其登记。审核交易电子信息的银行，主动终止外汇业务，应在作出决定之日起5个工作日内向注册地分局提出注销登记申请及终止外汇业务方案。业务处置完毕后，外汇局注销其登记。禁止性要求：申请材料不齐全，不符合法规规定。</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w:t>
      </w:r>
      <w:r>
        <w:rPr>
          <w:rFonts w:ascii="Times New Roman" w:hAnsi="Times New Roman" w:eastAsia="仿宋_GB2312" w:cs="Times New Roman"/>
          <w:color w:val="000000"/>
          <w:kern w:val="0"/>
          <w:sz w:val="28"/>
          <w:szCs w:val="28"/>
        </w:rPr>
        <w:t>进口单位名录登记</w:t>
      </w:r>
      <w:r>
        <w:rPr>
          <w:rFonts w:ascii="Times New Roman" w:hAnsi="Times New Roman" w:eastAsia="仿宋_GB2312" w:cs="Times New Roman"/>
          <w:sz w:val="30"/>
          <w:szCs w:val="30"/>
        </w:rPr>
        <w:t>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26"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法定代表人签字并加盖公章。</w:t>
            </w:r>
          </w:p>
        </w:tc>
        <w:tc>
          <w:tcPr>
            <w:tcW w:w="1417" w:type="dxa"/>
            <w:vMerge w:val="restart"/>
            <w:vAlign w:val="center"/>
          </w:tcPr>
          <w:p>
            <w:pPr>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26" w:type="dxa"/>
            <w:vAlign w:val="center"/>
          </w:tcPr>
          <w:p>
            <w:pPr>
              <w:keepNext/>
              <w:keepLines/>
              <w:rPr>
                <w:rFonts w:ascii="Times New Roman" w:hAnsi="Times New Roman" w:eastAsia="仿宋_GB2312" w:cs="Times New Roman"/>
                <w:sz w:val="24"/>
                <w:szCs w:val="24"/>
              </w:rPr>
            </w:pPr>
            <w:r>
              <w:rPr>
                <w:rFonts w:ascii="Times New Roman" w:hAnsi="Times New Roman" w:eastAsia="仿宋_GB2312" w:cs="Times New Roman"/>
                <w:sz w:val="24"/>
                <w:szCs w:val="24"/>
              </w:rPr>
              <w:t>原则上为营业执照副本</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（二）支付机构及审核交易电子信息的银行名录登记新办申请材料清单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1539"/>
        <w:gridCol w:w="1417"/>
        <w:gridCol w:w="567"/>
        <w:gridCol w:w="851"/>
        <w:gridCol w:w="212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5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12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《贸易外汇收支企业名录登记申请表》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纸质 </w:t>
            </w:r>
          </w:p>
        </w:tc>
        <w:tc>
          <w:tcPr>
            <w:tcW w:w="2126"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法定代表人签字并加盖公章。</w:t>
            </w:r>
          </w:p>
        </w:tc>
        <w:tc>
          <w:tcPr>
            <w:tcW w:w="1417" w:type="dxa"/>
            <w:vMerge w:val="restart"/>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营业执照</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纸质 </w:t>
            </w:r>
          </w:p>
        </w:tc>
        <w:tc>
          <w:tcPr>
            <w:tcW w:w="2126" w:type="dxa"/>
            <w:vAlign w:val="center"/>
          </w:tcPr>
          <w:p>
            <w:pPr>
              <w:keepNext/>
              <w:keepLines/>
              <w:spacing w:before="340" w:after="330" w:line="578" w:lineRule="auto"/>
              <w:rPr>
                <w:rFonts w:ascii="Times New Roman" w:hAnsi="Times New Roman" w:eastAsia="仿宋_GB2312" w:cs="Times New Roman"/>
                <w:sz w:val="24"/>
                <w:szCs w:val="24"/>
              </w:rPr>
            </w:pP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1417" w:type="dxa"/>
            <w:vMerge w:val="restart"/>
            <w:vAlign w:val="center"/>
          </w:tcPr>
          <w:p>
            <w:pPr>
              <w:keepNext/>
              <w:keepLines/>
              <w:spacing w:before="260" w:after="260" w:line="416" w:lineRule="auto"/>
              <w:jc w:val="left"/>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行业主管部门颁发的开展支付业务资质证明文件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银行提供结售汇业务资格证明文件。</w:t>
            </w:r>
          </w:p>
        </w:tc>
        <w:tc>
          <w:tcPr>
            <w:tcW w:w="1417"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承诺函</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包括但不限于承诺申请材料真实可信、按时履行报告义务、积极配合外汇局监督管理等。</w:t>
            </w:r>
          </w:p>
        </w:tc>
        <w:tc>
          <w:tcPr>
            <w:tcW w:w="1417"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银行办理名录时，可不提供合作协议。</w:t>
            </w:r>
          </w:p>
        </w:tc>
        <w:tc>
          <w:tcPr>
            <w:tcW w:w="1417"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5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外汇业务人员履历及其外汇业务能力核实情况</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126" w:type="dxa"/>
            <w:vAlign w:val="top"/>
          </w:tcPr>
          <w:p>
            <w:pPr>
              <w:keepNext/>
              <w:keepLines/>
              <w:spacing w:before="340" w:after="330" w:line="578" w:lineRule="auto"/>
              <w:rPr>
                <w:rFonts w:ascii="Times New Roman" w:hAnsi="Times New Roman" w:eastAsia="仿宋_GB2312" w:cs="Times New Roman"/>
                <w:sz w:val="24"/>
                <w:szCs w:val="24"/>
              </w:rPr>
            </w:pPr>
          </w:p>
        </w:tc>
        <w:tc>
          <w:tcPr>
            <w:tcW w:w="1417"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（三）支付机构及审核交易电子信息的银行</w:t>
      </w:r>
      <w:r>
        <w:rPr>
          <w:rFonts w:ascii="Times New Roman" w:hAnsi="Times New Roman" w:eastAsia="仿宋_GB2312" w:cs="Times New Roman"/>
          <w:color w:val="000000"/>
          <w:kern w:val="0"/>
          <w:sz w:val="28"/>
          <w:szCs w:val="28"/>
        </w:rPr>
        <w:t>名录登记</w:t>
      </w:r>
      <w:r>
        <w:rPr>
          <w:rFonts w:ascii="Times New Roman" w:hAnsi="Times New Roman" w:eastAsia="仿宋_GB2312" w:cs="Times New Roman"/>
          <w:sz w:val="30"/>
          <w:szCs w:val="30"/>
        </w:rPr>
        <w:t>变更材料清单</w:t>
      </w:r>
    </w:p>
    <w:tbl>
      <w:tblPr>
        <w:tblStyle w:val="7"/>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9"/>
        <w:gridCol w:w="1776"/>
        <w:gridCol w:w="1417"/>
        <w:gridCol w:w="567"/>
        <w:gridCol w:w="851"/>
        <w:gridCol w:w="1842"/>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84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1</w:t>
            </w:r>
          </w:p>
        </w:tc>
        <w:tc>
          <w:tcPr>
            <w:tcW w:w="17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相应变更文件或证明</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原件及加盖企业公章的复印件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1</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sz w:val="24"/>
                <w:szCs w:val="24"/>
              </w:rPr>
              <w:t>纸质</w:t>
            </w:r>
          </w:p>
        </w:tc>
        <w:tc>
          <w:tcPr>
            <w:tcW w:w="184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1701" w:type="dxa"/>
            <w:vAlign w:val="center"/>
          </w:tcPr>
          <w:p>
            <w:pPr>
              <w:jc w:val="center"/>
              <w:rPr>
                <w:rFonts w:ascii="Times New Roman" w:hAnsi="Times New Roman" w:eastAsia="仿宋_GB2312" w:cs="Times New Roman"/>
                <w:b/>
                <w:sz w:val="24"/>
                <w:szCs w:val="24"/>
              </w:rPr>
            </w:pPr>
          </w:p>
        </w:tc>
      </w:tr>
    </w:tbl>
    <w:p>
      <w:pPr>
        <w:adjustRightInd w:val="0"/>
        <w:snapToGrid w:val="0"/>
        <w:spacing w:line="360" w:lineRule="auto"/>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（四）支付机构及审核交易电子信息的银行名录注销申请材料清单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41"/>
        <w:gridCol w:w="1343"/>
        <w:gridCol w:w="591"/>
        <w:gridCol w:w="1103"/>
        <w:gridCol w:w="3382"/>
        <w:gridCol w:w="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04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3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9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10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338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04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注销登记申请</w:t>
            </w:r>
          </w:p>
        </w:tc>
        <w:tc>
          <w:tcPr>
            <w:tcW w:w="134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38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“相应注销文件或证明、说明”应包含注销理由及终止外汇业务方案；或被工商管理部门注销或吊销营业执照；或被行业主管部门终止支付业务。</w:t>
            </w:r>
          </w:p>
        </w:tc>
        <w:tc>
          <w:tcPr>
            <w:tcW w:w="69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支付机构被行业主管部门终止支付业务，支付机构名录登记相应失效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04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终止外汇业务方案</w:t>
            </w:r>
          </w:p>
        </w:tc>
        <w:tc>
          <w:tcPr>
            <w:tcW w:w="134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原件及加盖企业公章的复印件</w:t>
            </w:r>
          </w:p>
        </w:tc>
        <w:tc>
          <w:tcPr>
            <w:tcW w:w="5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3382"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vAlign w:val="center"/>
          </w:tcPr>
          <w:p>
            <w:pPr>
              <w:keepNext/>
              <w:keepLines/>
              <w:spacing w:before="340" w:after="330" w:line="578" w:lineRule="auto"/>
              <w:jc w:val="center"/>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十、申请接受</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申请人可通过国家外汇管理局分支局提交申请。</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十一、基本办理流程</w:t>
      </w:r>
    </w:p>
    <w:p>
      <w:pPr>
        <w:tabs>
          <w:tab w:val="left" w:pos="615"/>
        </w:tabs>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（二）决定是否予以受理；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（三）不属于本机构受理范围的，出具不予受理行政许可通知书；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（六）不予许可的，做出不予许可的行政许可书面决定并说明理由；予以许可的，出具行政许可决定书。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其中：支付机构及审核交易电子信息的银行相关业务需要现场办理，不支持政务服务网上办理平台线上办理。</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外汇局向申请企业出具行政许可决定书。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通过政务服务网上办理平台或现场告知申请企业，并通过现场领取或邮寄等方式将结果送达。通过正式书面文件告知获准登记的支付机构及审核交易电子信息的银行。</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十八、咨询途径、监督和投诉、公开查询等由所在地分支局办理</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青海省分局：</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咨询电话：0971—6126143</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监督和投诉电话：0971—6126148</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海东市中心支局：</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咨询电话：0972—8685145</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监督和投诉电话：0972—8687008</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海西州中心支局：</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咨询电话：0977—8205400</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监督和投诉电话：0977—8220142</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格尔木市支局：</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咨询电话：0979—8418430</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监督和投诉电话：0979—8412176</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向各地外汇局进行咨询、</w:t>
      </w:r>
      <w:r>
        <w:rPr>
          <w:rFonts w:hint="eastAsia" w:ascii="Times New Roman" w:hAnsi="Times New Roman" w:eastAsia="仿宋_GB2312" w:cs="Times New Roman"/>
          <w:sz w:val="30"/>
          <w:szCs w:val="30"/>
          <w:lang w:eastAsia="zh-CN"/>
        </w:rPr>
        <w:t>进程查询、</w:t>
      </w:r>
      <w:r>
        <w:rPr>
          <w:rFonts w:ascii="Times New Roman" w:hAnsi="Times New Roman" w:eastAsia="仿宋_GB2312" w:cs="Times New Roman"/>
          <w:sz w:val="30"/>
          <w:szCs w:val="30"/>
        </w:rPr>
        <w:t>监督和投诉等可通过</w:t>
      </w:r>
      <w:r>
        <w:rPr>
          <w:rFonts w:hint="eastAsia" w:ascii="Times New Roman" w:hAnsi="Times New Roman" w:eastAsia="仿宋_GB2312" w:cs="Times New Roman"/>
          <w:sz w:val="30"/>
          <w:szCs w:val="30"/>
          <w:lang w:eastAsia="zh-CN"/>
        </w:rPr>
        <w:t>各地</w:t>
      </w:r>
      <w:r>
        <w:rPr>
          <w:rFonts w:ascii="Times New Roman" w:hAnsi="Times New Roman" w:eastAsia="仿宋_GB2312" w:cs="Times New Roman"/>
          <w:sz w:val="30"/>
          <w:szCs w:val="30"/>
        </w:rPr>
        <w:t>外汇局官</w:t>
      </w:r>
      <w:r>
        <w:rPr>
          <w:rFonts w:hint="eastAsia" w:ascii="Times New Roman" w:hAnsi="Times New Roman" w:eastAsia="仿宋_GB2312" w:cs="Times New Roman"/>
          <w:sz w:val="30"/>
          <w:szCs w:val="30"/>
          <w:lang w:val="en-US" w:eastAsia="zh-CN"/>
        </w:rPr>
        <w:t>方互联网站咨询反馈功能进行。青海省分局互联网站网址：</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 HYPERLINK "http://www.safe.gov.cn/qinghai/index.html。" </w:instrText>
      </w:r>
      <w:r>
        <w:rPr>
          <w:rFonts w:hint="eastAsia" w:ascii="Times New Roman" w:hAnsi="Times New Roman" w:eastAsia="仿宋_GB2312" w:cs="Times New Roman"/>
          <w:sz w:val="30"/>
          <w:szCs w:val="30"/>
          <w:lang w:val="en-US" w:eastAsia="zh-CN"/>
        </w:rPr>
        <w:fldChar w:fldCharType="separate"/>
      </w:r>
      <w:r>
        <w:rPr>
          <w:rFonts w:hint="eastAsia" w:ascii="Times New Roman" w:hAnsi="Times New Roman" w:eastAsia="仿宋_GB2312" w:cs="Times New Roman"/>
          <w:sz w:val="30"/>
          <w:szCs w:val="30"/>
          <w:lang w:val="en-US" w:eastAsia="zh-CN"/>
        </w:rPr>
        <w:t>www.safe.gov.cn/qinghai/index.html。</w:t>
      </w:r>
      <w:r>
        <w:rPr>
          <w:rFonts w:hint="eastAsia" w:ascii="Times New Roman" w:hAnsi="Times New Roman" w:eastAsia="仿宋_GB2312" w:cs="Times New Roman"/>
          <w:sz w:val="30"/>
          <w:szCs w:val="30"/>
          <w:lang w:val="en-US" w:eastAsia="zh-CN"/>
        </w:rPr>
        <w:fldChar w:fldCharType="end"/>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对行政许可进程信息进行查询，也可登陆国家外汇管理局政务服务网上办理系统（通过国家外汇管理局“数字外管”平台：</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 HYPERLINK "http://zwfw.safe.gov.cn/asone/）" </w:instrText>
      </w:r>
      <w:r>
        <w:rPr>
          <w:rFonts w:hint="eastAsia" w:ascii="Times New Roman" w:hAnsi="Times New Roman" w:eastAsia="仿宋_GB2312" w:cs="Times New Roman"/>
          <w:sz w:val="30"/>
          <w:szCs w:val="30"/>
          <w:lang w:val="en-US" w:eastAsia="zh-CN"/>
        </w:rPr>
        <w:fldChar w:fldCharType="separate"/>
      </w:r>
      <w:r>
        <w:rPr>
          <w:rFonts w:hint="eastAsia" w:ascii="Times New Roman" w:hAnsi="Times New Roman" w:eastAsia="仿宋_GB2312" w:cs="Times New Roman"/>
          <w:sz w:val="30"/>
          <w:szCs w:val="30"/>
          <w:lang w:val="en-US" w:eastAsia="zh-CN"/>
        </w:rPr>
        <w:t>http://zwfw.safe.gov.cn/asone/）</w:t>
      </w:r>
      <w:r>
        <w:rPr>
          <w:rFonts w:hint="eastAsia" w:ascii="Times New Roman" w:hAnsi="Times New Roman" w:eastAsia="仿宋_GB2312" w:cs="Times New Roman"/>
          <w:sz w:val="30"/>
          <w:szCs w:val="30"/>
          <w:lang w:val="en-US" w:eastAsia="zh-CN"/>
        </w:rPr>
        <w:fldChar w:fldCharType="end"/>
      </w:r>
      <w:r>
        <w:rPr>
          <w:rFonts w:hint="eastAsia" w:ascii="Times New Roman" w:hAnsi="Times New Roman" w:eastAsia="仿宋_GB2312" w:cs="Times New Roman"/>
          <w:sz w:val="30"/>
          <w:szCs w:val="30"/>
          <w:lang w:val="en-US" w:eastAsia="zh-CN"/>
        </w:rPr>
        <w:t>，或</w:t>
      </w:r>
      <w:r>
        <w:rPr>
          <w:rFonts w:ascii="Times New Roman" w:hAnsi="Times New Roman" w:eastAsia="仿宋_GB2312" w:cs="Times New Roman"/>
          <w:sz w:val="30"/>
          <w:szCs w:val="30"/>
          <w:lang w:val="en-US" w:eastAsia="zh-CN"/>
        </w:rPr>
        <w:t>通过微信扫码国家政务服务平台“外汇政务服务”二维码快捷查询</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             </w:t>
      </w:r>
      <w:r>
        <w:rPr>
          <w:rFonts w:hint="eastAsia" w:ascii="宋体" w:hAnsi="宋体" w:eastAsia="宋体" w:cs="宋体"/>
          <w:i w:val="0"/>
          <w:snapToGrid w:val="0"/>
          <w:color w:val="000000"/>
          <w:kern w:val="0"/>
          <w:sz w:val="24"/>
          <w:szCs w:val="24"/>
          <w:u w:val="none"/>
          <w:lang w:val="en-US" w:eastAsia="zh-CN" w:bidi="ar-SA"/>
        </w:rPr>
        <w:fldChar w:fldCharType="begin"/>
      </w:r>
      <w:r>
        <w:rPr>
          <w:rFonts w:hint="eastAsia" w:ascii="宋体" w:hAnsi="宋体" w:eastAsia="宋体" w:cs="宋体"/>
          <w:i w:val="0"/>
          <w:snapToGrid w:val="0"/>
          <w:color w:val="000000"/>
          <w:kern w:val="0"/>
          <w:sz w:val="24"/>
          <w:szCs w:val="24"/>
          <w:u w:val="none"/>
          <w:lang w:val="en-US" w:eastAsia="zh-CN" w:bidi="ar-SA"/>
        </w:rPr>
        <w:instrText xml:space="preserve">INCLUDEPICTURE \d "C:\\Users\\zhangqian\\Documents\\My PBC IM\\21474886701899\\images\\4136C81620F6051F3AEC01B3596866FA.jpg" \* MERGEFORMATINET </w:instrText>
      </w:r>
      <w:r>
        <w:rPr>
          <w:rFonts w:hint="eastAsia" w:ascii="宋体" w:hAnsi="宋体" w:eastAsia="宋体" w:cs="宋体"/>
          <w:i w:val="0"/>
          <w:snapToGrid w:val="0"/>
          <w:color w:val="000000"/>
          <w:kern w:val="0"/>
          <w:sz w:val="24"/>
          <w:szCs w:val="24"/>
          <w:u w:val="none"/>
          <w:lang w:val="en-US" w:eastAsia="zh-CN" w:bidi="ar-SA"/>
        </w:rPr>
        <w:fldChar w:fldCharType="separate"/>
      </w:r>
      <w:r>
        <w:rPr>
          <w:rFonts w:hint="eastAsia" w:ascii="宋体" w:hAnsi="宋体" w:eastAsia="宋体" w:cs="宋体"/>
          <w:i w:val="0"/>
          <w:snapToGrid w:val="0"/>
          <w:color w:val="000000"/>
          <w:kern w:val="0"/>
          <w:sz w:val="24"/>
          <w:szCs w:val="24"/>
          <w:u w:val="none"/>
          <w:lang w:val="en-US" w:eastAsia="zh-CN" w:bidi="ar-SA"/>
        </w:rPr>
        <w:pict>
          <v:shape id="图片 1025" o:spid="_x0000_s1027" type="#_x0000_t75" style="height:165pt;width:177pt;rotation:0f;" o:ole="f" fillcolor="#FFFFFF" filled="f" o:preferrelative="t" stroked="f" coordorigin="0,0" coordsize="21600,21600">
            <v:fill on="f" color2="#FFFFFF" focus="0%"/>
            <v:imagedata gain="65536f" blacklevel="0f" gamma="0" o:title="IMG_256" r:id="rId9"/>
            <o:lock v:ext="edit" position="f" selection="f" grouping="f" rotation="f" cropping="f" text="f" aspectratio="t"/>
            <w10:wrap type="none"/>
            <w10:anchorlock/>
          </v:shape>
        </w:pict>
      </w:r>
      <w:r>
        <w:rPr>
          <w:rFonts w:hint="eastAsia" w:ascii="宋体" w:hAnsi="宋体" w:eastAsia="宋体" w:cs="宋体"/>
          <w:i w:val="0"/>
          <w:snapToGrid w:val="0"/>
          <w:color w:val="000000"/>
          <w:kern w:val="0"/>
          <w:sz w:val="24"/>
          <w:szCs w:val="24"/>
          <w:u w:val="none"/>
          <w:lang w:val="en-US" w:eastAsia="zh-CN" w:bidi="ar-SA"/>
        </w:rPr>
        <w:fldChar w:fldCharType="end"/>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w:t>
      </w:r>
      <w:r>
        <w:rPr>
          <w:rFonts w:hint="eastAsia" w:ascii="Times New Roman" w:hAnsi="Times New Roman" w:eastAsia="黑体" w:cs="Times New Roman"/>
          <w:sz w:val="30"/>
          <w:szCs w:val="30"/>
          <w:lang w:eastAsia="zh-CN"/>
        </w:rPr>
        <w:t>受理</w:t>
      </w:r>
      <w:r>
        <w:rPr>
          <w:rFonts w:ascii="Times New Roman" w:hAnsi="Times New Roman" w:eastAsia="黑体" w:cs="Times New Roman"/>
          <w:sz w:val="30"/>
          <w:szCs w:val="30"/>
        </w:rPr>
        <w:t>地址和</w:t>
      </w:r>
      <w:r>
        <w:rPr>
          <w:rFonts w:hint="eastAsia" w:ascii="Times New Roman" w:hAnsi="Times New Roman" w:eastAsia="黑体" w:cs="Times New Roman"/>
          <w:sz w:val="30"/>
          <w:szCs w:val="30"/>
          <w:lang w:eastAsia="zh-CN"/>
        </w:rPr>
        <w:t>受理</w:t>
      </w:r>
      <w:r>
        <w:rPr>
          <w:rFonts w:ascii="Times New Roman" w:hAnsi="Times New Roman" w:eastAsia="黑体" w:cs="Times New Roman"/>
          <w:sz w:val="30"/>
          <w:szCs w:val="30"/>
        </w:rPr>
        <w:t>时间</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eastAsia="zh-CN"/>
        </w:rPr>
        <w:t>青海省分局：</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受理地址：青海省西宁市昆仑路</w:t>
      </w:r>
      <w:r>
        <w:rPr>
          <w:rFonts w:hint="eastAsia" w:ascii="Times New Roman" w:hAnsi="Times New Roman" w:eastAsia="仿宋_GB2312" w:cs="Times New Roman"/>
          <w:sz w:val="30"/>
          <w:szCs w:val="30"/>
          <w:lang w:val="en-US" w:eastAsia="zh-CN"/>
        </w:rPr>
        <w:t>3号，中国人民银行西宁中心支行综合办公楼1506室。</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受理时间：工作日，上午：8:30-11:30；下午：14:00-17:30。</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海东市中心支局：</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受理地址：</w:t>
      </w:r>
      <w:r>
        <w:rPr>
          <w:rFonts w:hint="eastAsia" w:ascii="Times New Roman" w:hAnsi="Times New Roman" w:eastAsia="仿宋_GB2312" w:cs="Times New Roman"/>
          <w:sz w:val="30"/>
          <w:szCs w:val="30"/>
          <w:lang w:val="en-US" w:eastAsia="zh-CN"/>
        </w:rPr>
        <w:t>青海省海东市平安区乐都路3号，中国人民银行海东市中心支行综合楼4楼外汇管理科。</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受理时间：工作日，上午：8:30-12:00；下午：14:00-17:30。</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海西州中心支局：</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val="en-US" w:eastAsia="zh-CN"/>
        </w:rPr>
        <w:t>受理地址：青海省海西州德令哈市长江路18号，中国人民银行海西州中心支行410室。</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受理时间：工作日，上午：8:30-11:30；下午：14:00-17:30。</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格尔木市支局：</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受理地址：青海省海西蒙古族藏族自治州格尔木市柴达木中路20号，中国人民银行格尔木市支行406室。</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受理时间：工作日，上午：8:30-11:30；下午：14:00-17:30。</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二十一、常见问题解答及错误示例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1.企业办理名录登记是否需同时完成“出口单位名录登记”及“进口单位名录登记”两项申请？</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企业办理名录登记时，完成“出口单位名录登记”和“进口单位名录登记”两项中任一项即可成为名录企业，无需重复办理。</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.错误示例</w:t>
      </w:r>
    </w:p>
    <w:p>
      <w:pPr>
        <w:widowControl/>
        <w:spacing w:line="384"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企业在填写《贸易外汇收支企业名录登记申请表》时，应注意“经济类型”填写有限责任公司等内容，“行业类型”填写批发业、建筑业等内容，不要误将行业类型的内容填入经济类型的栏目。</w:t>
      </w:r>
    </w:p>
    <w:p>
      <w:pPr>
        <w:widowControl/>
        <w:spacing w:line="384" w:lineRule="auto"/>
        <w:rPr>
          <w:rFonts w:ascii="Times New Roman" w:hAnsi="Times New Roman" w:eastAsia="仿宋_GB2312" w:cs="Times New Roman"/>
          <w:kern w:val="0"/>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shape id="Flowchart: Terminator 79" o:spid="_x0000_s1028" type="#_x0000_t116" style="position:absolute;left:0;margin-left:0.15pt;margin-top:28.75pt;height:71.5pt;width:86.2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87" o:spid="_x0000_s1029" type="#_x0000_t32" style="position:absolute;left:0;margin-left:41.45pt;margin-top:6.65pt;height:57.95pt;width:0.05pt;rotation:0f;z-index:25165926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91" o:spid="_x0000_s1030" type="#_x0000_t32" style="position:absolute;left:0;flip:x;margin-left:41.45pt;margin-top:21.05pt;height:0.05pt;width:232.15pt;rotation:0f;z-index:25166028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0" o:spid="_x0000_s1031" style="position:absolute;left:0;margin-left:273.6pt;margin-top:1.6pt;height:33.7pt;width:146.4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Straight Connector 93" o:spid="_x0000_s1032" type="#_x0000_t32" style="position:absolute;left:0;margin-left:236.5pt;margin-top:334.05pt;height:50.5pt;width:0.85pt;rotation:0f;z-index:25166233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Terminator 85" o:spid="_x0000_s1033" type="#_x0000_t116" style="position:absolute;left:0;margin-left:205.9pt;margin-top:384.55pt;height:53.55pt;width:180.85pt;rotation:0f;z-index:25166336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Flowchart: Terminator 86" o:spid="_x0000_s1034" type="#_x0000_t116" style="position:absolute;left:0;margin-left:0.15pt;margin-top:384.55pt;height:53.55pt;width:197.6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Straight Connector 94" o:spid="_x0000_s1035" type="#_x0000_t32" style="position:absolute;left:0;margin-left:131.35pt;margin-top:339.3pt;height:45.25pt;width:0.05pt;rotation:0f;z-index:25166540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9" o:spid="_x0000_s1036" type="#_x0000_t32" style="position:absolute;left:0;margin-left:93.35pt;margin-top:103.05pt;height:0.05pt;width:58.6pt;rotation:0f;z-index:25166643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81" o:spid="_x0000_s1037" type="#_x0000_t4" style="position:absolute;left:0;margin-left:-44.2pt;margin-top:33.4pt;height:99.55pt;width:167pt;rotation:0f;z-index:2516674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shape id="Straight Connector 92" o:spid="_x0000_s1038" type="#_x0000_t32" style="position:absolute;left:0;margin-left:179.6pt;margin-top:231.3pt;height:36.1pt;width:0.05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97" o:spid="_x0000_s1039" type="#_x0000_t4" style="position:absolute;left:0;margin-left:97.9pt;margin-top:267.4pt;height:99.55pt;width:167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
                  <w:pPr>
                    <w:ind w:firstLine="315" w:firstLineChars="150"/>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Straight Connector 95" o:spid="_x0000_s1040" type="#_x0000_t32" style="position:absolute;left:0;margin-left:40.6pt;margin-top:132.95pt;height:49.9pt;width:0.05pt;rotation:0f;z-index:251670528;"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2" o:spid="_x0000_s1041" style="position:absolute;left:0;margin-left:81.7pt;margin-top:174.45pt;height:56.85pt;width:210.9pt;rotation:0f;z-index:25167155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txbxContent>
            </v:textbox>
          </v:rect>
        </w:pict>
      </w:r>
      <w:r>
        <w:rPr>
          <w:rFonts w:ascii="Times New Roman" w:hAnsi="Times New Roman" w:eastAsia="仿宋_GB2312" w:cs="Times New Roman"/>
          <w:kern w:val="2"/>
          <w:sz w:val="30"/>
          <w:szCs w:val="30"/>
          <w:lang w:val="en-US" w:eastAsia="zh-CN" w:bidi="ar-SA"/>
        </w:rPr>
        <w:pict>
          <v:shape id="Straight Connector 96" o:spid="_x0000_s1042" type="#_x0000_t32" style="position:absolute;left:0;margin-left:40.6pt;margin-top:182.85pt;height:0.05pt;width:41.1pt;rotation:0f;z-index:25167257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3" o:spid="_x0000_s1043" style="position:absolute;left:0;margin-left:151.95pt;margin-top:91.5pt;height:45.3pt;width:268.1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w:pict>
      </w:r>
      <w:r>
        <w:rPr>
          <w:rFonts w:ascii="Times New Roman" w:hAnsi="Times New Roman" w:eastAsia="仿宋_GB2312" w:cs="Times New Roman"/>
          <w:kern w:val="2"/>
          <w:sz w:val="30"/>
          <w:szCs w:val="30"/>
          <w:lang w:val="en-US" w:eastAsia="zh-CN" w:bidi="ar-SA"/>
        </w:rPr>
        <w:pict>
          <v:shape id="Straight Connector 90" o:spid="_x0000_s1044" type="#_x0000_t32" style="position:absolute;left:0;flip:y;margin-left:345.35pt;margin-top:4.1pt;height:44.75pt;width:0.05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4" o:spid="_x0000_s1045" style="position:absolute;left:0;margin-left:151.95pt;margin-top:48.85pt;height:25pt;width:268.1pt;rotation:0f;z-index:25167564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ect>
        </w:pict>
      </w:r>
      <w:r>
        <w:rPr>
          <w:rFonts w:ascii="Times New Roman" w:hAnsi="Times New Roman" w:eastAsia="仿宋_GB2312" w:cs="Times New Roman"/>
          <w:kern w:val="2"/>
          <w:sz w:val="30"/>
          <w:szCs w:val="30"/>
          <w:lang w:val="en-US" w:eastAsia="zh-CN" w:bidi="ar-SA"/>
        </w:rPr>
        <w:pict>
          <v:shape id="Straight Connector 88" o:spid="_x0000_s1046" type="#_x0000_t32" style="position:absolute;left:0;margin-left:93.35pt;margin-top:61.45pt;height:0.05pt;width:58.6pt;rotation:0f;z-index:25167667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p>
    <w:p>
      <w:pPr>
        <w:widowControl/>
        <w:spacing w:line="384" w:lineRule="auto"/>
        <w:jc w:val="left"/>
        <w:rPr>
          <w:rFonts w:hint="eastAsia"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附录二（材料示范文本）</w:t>
      </w:r>
    </w:p>
    <w:p>
      <w:pPr>
        <w:widowControl/>
        <w:spacing w:line="384" w:lineRule="auto"/>
        <w:jc w:val="left"/>
        <w:rPr>
          <w:rFonts w:ascii="Times New Roman" w:hAnsi="Times New Roman" w:eastAsia="仿宋_GB2312" w:cs="Times New Roman"/>
          <w:kern w:val="0"/>
          <w:sz w:val="30"/>
          <w:szCs w:val="30"/>
        </w:rPr>
      </w:pPr>
    </w:p>
    <w:p>
      <w:pPr>
        <w:ind w:right="300"/>
        <w:jc w:val="center"/>
        <w:rPr>
          <w:rFonts w:ascii="Times New Roman" w:hAnsi="Times New Roman" w:eastAsia="黑体" w:cs="Times New Roman"/>
          <w:bCs/>
          <w:kern w:val="0"/>
          <w:sz w:val="24"/>
          <w:szCs w:val="24"/>
        </w:rPr>
      </w:pPr>
      <w:r>
        <w:rPr>
          <w:rFonts w:ascii="Times New Roman" w:hAnsi="Times New Roman" w:eastAsia="黑体" w:cs="Times New Roman"/>
          <w:kern w:val="0"/>
          <w:sz w:val="30"/>
          <w:szCs w:val="30"/>
        </w:rPr>
        <w:t>　　</w:t>
      </w:r>
      <w:r>
        <w:rPr>
          <w:rFonts w:ascii="Times New Roman" w:hAnsi="Times New Roman" w:eastAsia="黑体" w:cs="Times New Roman"/>
          <w:kern w:val="0"/>
          <w:sz w:val="24"/>
          <w:szCs w:val="24"/>
        </w:rPr>
        <w:t>贸易外汇收支企业名录</w:t>
      </w:r>
      <w:r>
        <w:rPr>
          <w:rFonts w:ascii="Times New Roman" w:hAnsi="Times New Roman" w:eastAsia="黑体" w:cs="Times New Roman"/>
          <w:bCs/>
          <w:kern w:val="0"/>
          <w:sz w:val="24"/>
          <w:szCs w:val="24"/>
        </w:rPr>
        <w:t>登记申请表</w:t>
      </w:r>
    </w:p>
    <w:p>
      <w:pPr>
        <w:ind w:right="300"/>
        <w:jc w:val="center"/>
        <w:rPr>
          <w:rFonts w:ascii="Times New Roman" w:hAnsi="Times New Roman" w:eastAsia="黑体" w:cs="Times New Roman"/>
          <w:b/>
          <w:bCs/>
          <w:kern w:val="0"/>
          <w:sz w:val="24"/>
          <w:szCs w:val="24"/>
        </w:rPr>
      </w:pPr>
    </w:p>
    <w:p>
      <w:pPr>
        <w:spacing w:line="384" w:lineRule="auto"/>
        <w:ind w:right="301"/>
        <w:jc w:val="left"/>
        <w:rPr>
          <w:rFonts w:ascii="Times New Roman" w:hAnsi="Times New Roman" w:eastAsia="仿宋_GB2312" w:cs="Times New Roman"/>
          <w:kern w:val="0"/>
          <w:sz w:val="24"/>
          <w:szCs w:val="24"/>
        </w:rPr>
      </w:pPr>
      <w:r>
        <w:rPr>
          <w:rFonts w:ascii="Times New Roman" w:hAnsi="Times New Roman" w:eastAsia="仿宋_GB2312" w:cs="Times New Roman"/>
          <w:bCs/>
          <w:kern w:val="0"/>
          <w:sz w:val="24"/>
          <w:szCs w:val="24"/>
        </w:rPr>
        <w:t>国家外汇管理局XX分(支)局：</w:t>
      </w:r>
    </w:p>
    <w:p>
      <w:pPr>
        <w:spacing w:line="384" w:lineRule="auto"/>
        <w:ind w:right="-58" w:firstLine="480" w:firstLineChars="200"/>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□营业执照副本</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（注：以上资料需提供原件及加盖企业公章的复印件。）</w:t>
      </w:r>
    </w:p>
    <w:tbl>
      <w:tblPr>
        <w:tblStyle w:val="7"/>
        <w:tblW w:w="91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2"/>
        <w:gridCol w:w="1134"/>
        <w:gridCol w:w="1566"/>
        <w:gridCol w:w="277"/>
        <w:gridCol w:w="1134"/>
        <w:gridCol w:w="179"/>
        <w:gridCol w:w="1013"/>
        <w:gridCol w:w="509"/>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统一社会用</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代码</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p>
        </w:tc>
        <w:tc>
          <w:tcPr>
            <w:tcW w:w="2326"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企业名称</w:t>
            </w:r>
          </w:p>
        </w:tc>
        <w:tc>
          <w:tcPr>
            <w:tcW w:w="1643" w:type="dxa"/>
            <w:gridSpan w:val="2"/>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经济类型代码 及名称</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行业类型代码</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及名称</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4" w:hRule="atLeast"/>
          <w:jc w:val="center"/>
        </w:trPr>
        <w:tc>
          <w:tcPr>
            <w:tcW w:w="2252" w:type="dxa"/>
            <w:vMerge w:val="restart"/>
            <w:tcBorders>
              <w:top w:val="nil"/>
              <w:left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是否注册在海关特殊监管区域</w:t>
            </w: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是，注明区域名称    　</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c>
          <w:tcPr>
            <w:tcW w:w="2977" w:type="dxa"/>
            <w:gridSpan w:val="3"/>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lang w:val="en-US" w:eastAsia="zh-CN" w:bidi="ar-SA"/>
              </w:rPr>
              <w:pict>
                <v:shape id="Straight Connector 98" o:spid="_x0000_s1047" type="#_x0000_t32" style="position:absolute;left:0;flip:y;margin-left:142.45pt;margin-top:0.8pt;height:19.7pt;width:198.6pt;rotation:0f;z-index:251677696;"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0"/>
                <w:sz w:val="24"/>
                <w:szCs w:val="24"/>
              </w:rPr>
              <w:t>否</w:t>
            </w:r>
          </w:p>
        </w:tc>
        <w:tc>
          <w:tcPr>
            <w:tcW w:w="3969" w:type="dxa"/>
            <w:gridSpan w:val="5"/>
            <w:tcBorders>
              <w:top w:val="single" w:color="auto" w:sz="4" w:space="0"/>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是否海关进出口货物收发货人报关注册企业</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是否对外贸易 </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经营权企业</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法定代表人姓名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法定代表人身份证/护照号码</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外币注册币种</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外币注册资金</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人民币注册资金</w:t>
            </w:r>
          </w:p>
        </w:tc>
        <w:tc>
          <w:tcPr>
            <w:tcW w:w="2977" w:type="dxa"/>
            <w:gridSpan w:val="3"/>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成立日期</w:t>
            </w:r>
          </w:p>
        </w:tc>
        <w:tc>
          <w:tcPr>
            <w:tcW w:w="1643"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经营范围</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企业地址</w:t>
            </w:r>
          </w:p>
        </w:tc>
        <w:tc>
          <w:tcPr>
            <w:tcW w:w="6946" w:type="dxa"/>
            <w:gridSpan w:val="8"/>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是否外贸综合服务企业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843" w:type="dxa"/>
            <w:gridSpan w:val="2"/>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是否市场采购贸易企业</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701"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是否商品现货交易所</w:t>
            </w:r>
          </w:p>
        </w:tc>
        <w:tc>
          <w:tcPr>
            <w:tcW w:w="1566" w:type="dxa"/>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3112" w:type="dxa"/>
            <w:gridSpan w:val="5"/>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vAlign w:val="center"/>
          </w:tcPr>
          <w:p>
            <w:pPr>
              <w:ind w:right="30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邮编</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电话</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传真</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电子邮箱</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b/>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企业联系人</w:t>
            </w:r>
          </w:p>
        </w:tc>
        <w:tc>
          <w:tcPr>
            <w:tcW w:w="2700" w:type="dxa"/>
            <w:gridSpan w:val="2"/>
            <w:tcBorders>
              <w:top w:val="nil"/>
              <w:left w:val="nil"/>
              <w:bottom w:val="single" w:color="auto" w:sz="4" w:space="0"/>
              <w:right w:val="single" w:color="auto" w:sz="4" w:space="0"/>
            </w:tcBorders>
            <w:shd w:val="clear" w:color="auto" w:fill="FFFFFF"/>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手机</w:t>
            </w:r>
          </w:p>
        </w:tc>
        <w:tc>
          <w:tcPr>
            <w:tcW w:w="2656" w:type="dxa"/>
            <w:gridSpan w:val="3"/>
            <w:tcBorders>
              <w:top w:val="nil"/>
              <w:left w:val="nil"/>
              <w:bottom w:val="single" w:color="auto" w:sz="4" w:space="0"/>
              <w:right w:val="single" w:color="auto" w:sz="4" w:space="0"/>
            </w:tcBorders>
            <w:shd w:val="clear" w:color="auto" w:fill="FFFFFF"/>
            <w:vAlign w:val="center"/>
          </w:tcPr>
          <w:p>
            <w:pPr>
              <w:ind w:right="300"/>
              <w:jc w:val="center"/>
              <w:rPr>
                <w:rFonts w:ascii="Times New Roman" w:hAnsi="Times New Roman" w:eastAsia="仿宋_GB2312" w:cs="Times New Roman"/>
                <w:kern w:val="0"/>
                <w:sz w:val="24"/>
                <w:szCs w:val="24"/>
              </w:rPr>
            </w:pPr>
          </w:p>
        </w:tc>
      </w:tr>
    </w:tbl>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企业（公章）：</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法定代表人（签字）：</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24"/>
          <w:szCs w:val="24"/>
        </w:rPr>
      </w:pP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注意事项及填表说明：</w:t>
      </w:r>
    </w:p>
    <w:p>
      <w:pPr>
        <w:tabs>
          <w:tab w:val="left" w:pos="8222"/>
        </w:tabs>
        <w:spacing w:line="560" w:lineRule="exact"/>
        <w:ind w:right="84"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请认真阅读下列填表说明，按要求填写相关事项，因填写不准确造成的后果自行承担：</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2.行业类型代码及名称：按照“行业类型代码及名称表”内容选择其中一项填写；</w:t>
      </w:r>
    </w:p>
    <w:p>
      <w:pPr>
        <w:spacing w:line="560" w:lineRule="exact"/>
        <w:ind w:right="-58" w:firstLine="48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Pr>
        <w:ind w:right="300"/>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t>1</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78</w:t>
    </w:r>
    <w:r>
      <w:rPr>
        <w:lang w:val="zh-CN"/>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t>13</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B19B3"/>
    <w:rsid w:val="000003C0"/>
    <w:rsid w:val="000021D6"/>
    <w:rsid w:val="00004BD5"/>
    <w:rsid w:val="00007A67"/>
    <w:rsid w:val="00027E45"/>
    <w:rsid w:val="000351A4"/>
    <w:rsid w:val="00037A07"/>
    <w:rsid w:val="00042CB9"/>
    <w:rsid w:val="00050681"/>
    <w:rsid w:val="000566CF"/>
    <w:rsid w:val="000652D6"/>
    <w:rsid w:val="00070716"/>
    <w:rsid w:val="00097754"/>
    <w:rsid w:val="000D3467"/>
    <w:rsid w:val="000D3E0B"/>
    <w:rsid w:val="000D61BB"/>
    <w:rsid w:val="000E2AD6"/>
    <w:rsid w:val="000E2D98"/>
    <w:rsid w:val="000E5910"/>
    <w:rsid w:val="000F1C17"/>
    <w:rsid w:val="000F24B5"/>
    <w:rsid w:val="00102A7C"/>
    <w:rsid w:val="00106460"/>
    <w:rsid w:val="001156C5"/>
    <w:rsid w:val="00134BF3"/>
    <w:rsid w:val="00140DE8"/>
    <w:rsid w:val="001418D3"/>
    <w:rsid w:val="00154329"/>
    <w:rsid w:val="001557E5"/>
    <w:rsid w:val="00163202"/>
    <w:rsid w:val="001870AC"/>
    <w:rsid w:val="00193A89"/>
    <w:rsid w:val="00195B37"/>
    <w:rsid w:val="001A1E83"/>
    <w:rsid w:val="001A61DE"/>
    <w:rsid w:val="001C084E"/>
    <w:rsid w:val="001C2B84"/>
    <w:rsid w:val="001C3568"/>
    <w:rsid w:val="001C4BB1"/>
    <w:rsid w:val="001D095F"/>
    <w:rsid w:val="001D2DD9"/>
    <w:rsid w:val="001D325D"/>
    <w:rsid w:val="001D56F0"/>
    <w:rsid w:val="001D5C07"/>
    <w:rsid w:val="001E37D7"/>
    <w:rsid w:val="001F1B4B"/>
    <w:rsid w:val="001F2A75"/>
    <w:rsid w:val="00212F1A"/>
    <w:rsid w:val="00215F91"/>
    <w:rsid w:val="002178A9"/>
    <w:rsid w:val="002226D7"/>
    <w:rsid w:val="0023361F"/>
    <w:rsid w:val="00233CB8"/>
    <w:rsid w:val="00233F9E"/>
    <w:rsid w:val="00235C6D"/>
    <w:rsid w:val="002453CB"/>
    <w:rsid w:val="00253212"/>
    <w:rsid w:val="00254875"/>
    <w:rsid w:val="0025599E"/>
    <w:rsid w:val="0026037E"/>
    <w:rsid w:val="002654CB"/>
    <w:rsid w:val="00266E25"/>
    <w:rsid w:val="00273E50"/>
    <w:rsid w:val="0028237D"/>
    <w:rsid w:val="002A0834"/>
    <w:rsid w:val="002B0553"/>
    <w:rsid w:val="002B05F7"/>
    <w:rsid w:val="002B3F08"/>
    <w:rsid w:val="002B4E65"/>
    <w:rsid w:val="002C7EAF"/>
    <w:rsid w:val="002F2577"/>
    <w:rsid w:val="002F6202"/>
    <w:rsid w:val="0031062A"/>
    <w:rsid w:val="00316E50"/>
    <w:rsid w:val="00316F0E"/>
    <w:rsid w:val="00321272"/>
    <w:rsid w:val="00325547"/>
    <w:rsid w:val="00326B8C"/>
    <w:rsid w:val="003314E4"/>
    <w:rsid w:val="00331E1E"/>
    <w:rsid w:val="003371EB"/>
    <w:rsid w:val="0033746D"/>
    <w:rsid w:val="00337ED9"/>
    <w:rsid w:val="00345800"/>
    <w:rsid w:val="003508A5"/>
    <w:rsid w:val="00354A7C"/>
    <w:rsid w:val="00364BB9"/>
    <w:rsid w:val="00377012"/>
    <w:rsid w:val="00387FD0"/>
    <w:rsid w:val="00396CD5"/>
    <w:rsid w:val="003A1721"/>
    <w:rsid w:val="003A4630"/>
    <w:rsid w:val="003A496B"/>
    <w:rsid w:val="003B1325"/>
    <w:rsid w:val="003B6057"/>
    <w:rsid w:val="003C3480"/>
    <w:rsid w:val="003C5C1F"/>
    <w:rsid w:val="003D1EDA"/>
    <w:rsid w:val="003D1F9B"/>
    <w:rsid w:val="003D2BBB"/>
    <w:rsid w:val="003D3BB2"/>
    <w:rsid w:val="003D7B66"/>
    <w:rsid w:val="00404086"/>
    <w:rsid w:val="0040580D"/>
    <w:rsid w:val="00413782"/>
    <w:rsid w:val="00417C88"/>
    <w:rsid w:val="004311DF"/>
    <w:rsid w:val="00436919"/>
    <w:rsid w:val="00437717"/>
    <w:rsid w:val="0044021E"/>
    <w:rsid w:val="00445A64"/>
    <w:rsid w:val="0045411C"/>
    <w:rsid w:val="004573E4"/>
    <w:rsid w:val="00460C6A"/>
    <w:rsid w:val="00460F9A"/>
    <w:rsid w:val="00483315"/>
    <w:rsid w:val="00486995"/>
    <w:rsid w:val="00487956"/>
    <w:rsid w:val="004924A7"/>
    <w:rsid w:val="004935B2"/>
    <w:rsid w:val="00494124"/>
    <w:rsid w:val="00497EF0"/>
    <w:rsid w:val="00497FC6"/>
    <w:rsid w:val="004A0818"/>
    <w:rsid w:val="004A5600"/>
    <w:rsid w:val="004A6503"/>
    <w:rsid w:val="004B1BDA"/>
    <w:rsid w:val="004B29AE"/>
    <w:rsid w:val="004B3A9F"/>
    <w:rsid w:val="004C5477"/>
    <w:rsid w:val="004D3F83"/>
    <w:rsid w:val="004E4AD4"/>
    <w:rsid w:val="004E746C"/>
    <w:rsid w:val="004E7E2D"/>
    <w:rsid w:val="004F1B78"/>
    <w:rsid w:val="004F3F94"/>
    <w:rsid w:val="005062BC"/>
    <w:rsid w:val="00512742"/>
    <w:rsid w:val="00512786"/>
    <w:rsid w:val="00514ABC"/>
    <w:rsid w:val="005263C0"/>
    <w:rsid w:val="00544909"/>
    <w:rsid w:val="00551A5A"/>
    <w:rsid w:val="0056706F"/>
    <w:rsid w:val="00567128"/>
    <w:rsid w:val="005845DF"/>
    <w:rsid w:val="00584DF2"/>
    <w:rsid w:val="0058649D"/>
    <w:rsid w:val="00593352"/>
    <w:rsid w:val="00595487"/>
    <w:rsid w:val="005A32AB"/>
    <w:rsid w:val="005A3A70"/>
    <w:rsid w:val="005A61D4"/>
    <w:rsid w:val="005B322C"/>
    <w:rsid w:val="005C4A17"/>
    <w:rsid w:val="005E1F6F"/>
    <w:rsid w:val="005E6464"/>
    <w:rsid w:val="005F1522"/>
    <w:rsid w:val="005F1FAC"/>
    <w:rsid w:val="005F3C89"/>
    <w:rsid w:val="005F5952"/>
    <w:rsid w:val="006017F9"/>
    <w:rsid w:val="006025FB"/>
    <w:rsid w:val="00603617"/>
    <w:rsid w:val="0064768C"/>
    <w:rsid w:val="006509E6"/>
    <w:rsid w:val="00654AA7"/>
    <w:rsid w:val="006553EF"/>
    <w:rsid w:val="006603EC"/>
    <w:rsid w:val="00673F17"/>
    <w:rsid w:val="006847AE"/>
    <w:rsid w:val="006915F8"/>
    <w:rsid w:val="00696646"/>
    <w:rsid w:val="00696A7B"/>
    <w:rsid w:val="006B1D92"/>
    <w:rsid w:val="006B28AD"/>
    <w:rsid w:val="006B3076"/>
    <w:rsid w:val="006B5EF5"/>
    <w:rsid w:val="006B6370"/>
    <w:rsid w:val="006B71D2"/>
    <w:rsid w:val="006C4C39"/>
    <w:rsid w:val="006C6087"/>
    <w:rsid w:val="006D3427"/>
    <w:rsid w:val="006D43F5"/>
    <w:rsid w:val="006D6A5B"/>
    <w:rsid w:val="006E7C82"/>
    <w:rsid w:val="006F61C6"/>
    <w:rsid w:val="0071311B"/>
    <w:rsid w:val="007157B6"/>
    <w:rsid w:val="0072541C"/>
    <w:rsid w:val="0073340E"/>
    <w:rsid w:val="00735659"/>
    <w:rsid w:val="00735A28"/>
    <w:rsid w:val="007510E5"/>
    <w:rsid w:val="007544BC"/>
    <w:rsid w:val="007632A0"/>
    <w:rsid w:val="007634FF"/>
    <w:rsid w:val="0076451B"/>
    <w:rsid w:val="007704CD"/>
    <w:rsid w:val="0078686C"/>
    <w:rsid w:val="00787DF5"/>
    <w:rsid w:val="00795D93"/>
    <w:rsid w:val="007A1978"/>
    <w:rsid w:val="007B0E48"/>
    <w:rsid w:val="007B0EBE"/>
    <w:rsid w:val="007B6675"/>
    <w:rsid w:val="007C52A7"/>
    <w:rsid w:val="007E1D0E"/>
    <w:rsid w:val="007E7441"/>
    <w:rsid w:val="007F233E"/>
    <w:rsid w:val="0080044E"/>
    <w:rsid w:val="0081373A"/>
    <w:rsid w:val="00815287"/>
    <w:rsid w:val="00824D07"/>
    <w:rsid w:val="008269C3"/>
    <w:rsid w:val="00826F3F"/>
    <w:rsid w:val="00827911"/>
    <w:rsid w:val="00832D42"/>
    <w:rsid w:val="00833A95"/>
    <w:rsid w:val="00834DF4"/>
    <w:rsid w:val="00837990"/>
    <w:rsid w:val="00841DE9"/>
    <w:rsid w:val="00842C2F"/>
    <w:rsid w:val="008459E3"/>
    <w:rsid w:val="00846D5D"/>
    <w:rsid w:val="00864463"/>
    <w:rsid w:val="00865B37"/>
    <w:rsid w:val="00871300"/>
    <w:rsid w:val="00871BB2"/>
    <w:rsid w:val="0087457D"/>
    <w:rsid w:val="008767C3"/>
    <w:rsid w:val="00876926"/>
    <w:rsid w:val="008A09ED"/>
    <w:rsid w:val="008A0A76"/>
    <w:rsid w:val="008A53DB"/>
    <w:rsid w:val="008A6143"/>
    <w:rsid w:val="008A6DDB"/>
    <w:rsid w:val="008A6EEC"/>
    <w:rsid w:val="008B019D"/>
    <w:rsid w:val="008B3288"/>
    <w:rsid w:val="008B4359"/>
    <w:rsid w:val="008C33D3"/>
    <w:rsid w:val="008D3637"/>
    <w:rsid w:val="008E0D30"/>
    <w:rsid w:val="008E324F"/>
    <w:rsid w:val="008E57E6"/>
    <w:rsid w:val="008E6700"/>
    <w:rsid w:val="008F36D7"/>
    <w:rsid w:val="008F3E08"/>
    <w:rsid w:val="008F5475"/>
    <w:rsid w:val="008F5F4C"/>
    <w:rsid w:val="008F7955"/>
    <w:rsid w:val="00916523"/>
    <w:rsid w:val="009245CA"/>
    <w:rsid w:val="009347F8"/>
    <w:rsid w:val="009379DE"/>
    <w:rsid w:val="009516B1"/>
    <w:rsid w:val="00960764"/>
    <w:rsid w:val="009640DB"/>
    <w:rsid w:val="00966422"/>
    <w:rsid w:val="00970C40"/>
    <w:rsid w:val="00976900"/>
    <w:rsid w:val="00977A16"/>
    <w:rsid w:val="00981057"/>
    <w:rsid w:val="00984619"/>
    <w:rsid w:val="009849B6"/>
    <w:rsid w:val="00985C45"/>
    <w:rsid w:val="00986690"/>
    <w:rsid w:val="0098731F"/>
    <w:rsid w:val="009976AB"/>
    <w:rsid w:val="009A32EE"/>
    <w:rsid w:val="009B0566"/>
    <w:rsid w:val="009B19B3"/>
    <w:rsid w:val="009D2CA3"/>
    <w:rsid w:val="009D7865"/>
    <w:rsid w:val="00A011E0"/>
    <w:rsid w:val="00A019DC"/>
    <w:rsid w:val="00A037BB"/>
    <w:rsid w:val="00A053EC"/>
    <w:rsid w:val="00A20682"/>
    <w:rsid w:val="00A20869"/>
    <w:rsid w:val="00A21B4B"/>
    <w:rsid w:val="00A23CC9"/>
    <w:rsid w:val="00A31120"/>
    <w:rsid w:val="00A31633"/>
    <w:rsid w:val="00A333A8"/>
    <w:rsid w:val="00A33C4E"/>
    <w:rsid w:val="00A41AC7"/>
    <w:rsid w:val="00A42BA0"/>
    <w:rsid w:val="00A437F1"/>
    <w:rsid w:val="00A4638A"/>
    <w:rsid w:val="00A525DF"/>
    <w:rsid w:val="00A56380"/>
    <w:rsid w:val="00A724BB"/>
    <w:rsid w:val="00A76F2C"/>
    <w:rsid w:val="00A828DC"/>
    <w:rsid w:val="00A85917"/>
    <w:rsid w:val="00AA2782"/>
    <w:rsid w:val="00AB1454"/>
    <w:rsid w:val="00AD6356"/>
    <w:rsid w:val="00AD7F95"/>
    <w:rsid w:val="00AE12B8"/>
    <w:rsid w:val="00AE1454"/>
    <w:rsid w:val="00AE1E55"/>
    <w:rsid w:val="00AF3753"/>
    <w:rsid w:val="00AF57E1"/>
    <w:rsid w:val="00AF7A76"/>
    <w:rsid w:val="00B03FA1"/>
    <w:rsid w:val="00B063D5"/>
    <w:rsid w:val="00B11981"/>
    <w:rsid w:val="00B14564"/>
    <w:rsid w:val="00B150F1"/>
    <w:rsid w:val="00B1706B"/>
    <w:rsid w:val="00B241DC"/>
    <w:rsid w:val="00B24922"/>
    <w:rsid w:val="00B327C8"/>
    <w:rsid w:val="00B33C17"/>
    <w:rsid w:val="00B35ADB"/>
    <w:rsid w:val="00B370B4"/>
    <w:rsid w:val="00B37501"/>
    <w:rsid w:val="00B44E28"/>
    <w:rsid w:val="00B525C6"/>
    <w:rsid w:val="00B61130"/>
    <w:rsid w:val="00B614A1"/>
    <w:rsid w:val="00B73A28"/>
    <w:rsid w:val="00B82A11"/>
    <w:rsid w:val="00B84802"/>
    <w:rsid w:val="00B87216"/>
    <w:rsid w:val="00B9241E"/>
    <w:rsid w:val="00B94AEF"/>
    <w:rsid w:val="00BA4EC0"/>
    <w:rsid w:val="00BA5B48"/>
    <w:rsid w:val="00BB3C0B"/>
    <w:rsid w:val="00BB6FB7"/>
    <w:rsid w:val="00BB71AE"/>
    <w:rsid w:val="00BD1960"/>
    <w:rsid w:val="00BE14A9"/>
    <w:rsid w:val="00BE47E8"/>
    <w:rsid w:val="00BF58A4"/>
    <w:rsid w:val="00BF69EA"/>
    <w:rsid w:val="00C01288"/>
    <w:rsid w:val="00C01AFF"/>
    <w:rsid w:val="00C15924"/>
    <w:rsid w:val="00C20EC9"/>
    <w:rsid w:val="00C266D2"/>
    <w:rsid w:val="00C26BC0"/>
    <w:rsid w:val="00C31ECE"/>
    <w:rsid w:val="00C34F82"/>
    <w:rsid w:val="00C4111F"/>
    <w:rsid w:val="00C5180B"/>
    <w:rsid w:val="00C545CE"/>
    <w:rsid w:val="00C5521A"/>
    <w:rsid w:val="00C57574"/>
    <w:rsid w:val="00C659B4"/>
    <w:rsid w:val="00C66EDA"/>
    <w:rsid w:val="00C71261"/>
    <w:rsid w:val="00C85446"/>
    <w:rsid w:val="00C903FE"/>
    <w:rsid w:val="00C90E8C"/>
    <w:rsid w:val="00CA4D41"/>
    <w:rsid w:val="00CA5928"/>
    <w:rsid w:val="00CB049A"/>
    <w:rsid w:val="00CB1ED8"/>
    <w:rsid w:val="00CB751C"/>
    <w:rsid w:val="00CC02F5"/>
    <w:rsid w:val="00CC2FE6"/>
    <w:rsid w:val="00CD6F3B"/>
    <w:rsid w:val="00CE1482"/>
    <w:rsid w:val="00CE55F6"/>
    <w:rsid w:val="00CF249D"/>
    <w:rsid w:val="00CF62DA"/>
    <w:rsid w:val="00D007CE"/>
    <w:rsid w:val="00D01106"/>
    <w:rsid w:val="00D07C35"/>
    <w:rsid w:val="00D143B3"/>
    <w:rsid w:val="00D16C12"/>
    <w:rsid w:val="00D224E4"/>
    <w:rsid w:val="00D3006E"/>
    <w:rsid w:val="00D327EC"/>
    <w:rsid w:val="00D3615F"/>
    <w:rsid w:val="00D402BA"/>
    <w:rsid w:val="00D408D0"/>
    <w:rsid w:val="00D55E8C"/>
    <w:rsid w:val="00D71D4B"/>
    <w:rsid w:val="00D74ED6"/>
    <w:rsid w:val="00D80592"/>
    <w:rsid w:val="00D81AB8"/>
    <w:rsid w:val="00D85E50"/>
    <w:rsid w:val="00D92ED1"/>
    <w:rsid w:val="00DA5B01"/>
    <w:rsid w:val="00DB2D9A"/>
    <w:rsid w:val="00DD4792"/>
    <w:rsid w:val="00DD6A30"/>
    <w:rsid w:val="00DE6385"/>
    <w:rsid w:val="00DE791B"/>
    <w:rsid w:val="00DF15BD"/>
    <w:rsid w:val="00DF7356"/>
    <w:rsid w:val="00E02AE9"/>
    <w:rsid w:val="00E049C8"/>
    <w:rsid w:val="00E129F8"/>
    <w:rsid w:val="00E144BB"/>
    <w:rsid w:val="00E27EE9"/>
    <w:rsid w:val="00E30DEB"/>
    <w:rsid w:val="00E33EFE"/>
    <w:rsid w:val="00E34D6A"/>
    <w:rsid w:val="00E430A6"/>
    <w:rsid w:val="00E46A26"/>
    <w:rsid w:val="00E505E0"/>
    <w:rsid w:val="00E61CED"/>
    <w:rsid w:val="00E75B2F"/>
    <w:rsid w:val="00E77119"/>
    <w:rsid w:val="00E955CC"/>
    <w:rsid w:val="00EA2A2D"/>
    <w:rsid w:val="00EA3634"/>
    <w:rsid w:val="00EA5CDF"/>
    <w:rsid w:val="00EA6B80"/>
    <w:rsid w:val="00EB156E"/>
    <w:rsid w:val="00EB574D"/>
    <w:rsid w:val="00EB6DFA"/>
    <w:rsid w:val="00EC0133"/>
    <w:rsid w:val="00EC36EB"/>
    <w:rsid w:val="00EC7A79"/>
    <w:rsid w:val="00ED3C09"/>
    <w:rsid w:val="00EE1E1E"/>
    <w:rsid w:val="00EE29F0"/>
    <w:rsid w:val="00EE36F3"/>
    <w:rsid w:val="00EE520B"/>
    <w:rsid w:val="00EE69DD"/>
    <w:rsid w:val="00EF5BC8"/>
    <w:rsid w:val="00F005E2"/>
    <w:rsid w:val="00F03C4E"/>
    <w:rsid w:val="00F10FD7"/>
    <w:rsid w:val="00F16F75"/>
    <w:rsid w:val="00F201F4"/>
    <w:rsid w:val="00F21D92"/>
    <w:rsid w:val="00F32657"/>
    <w:rsid w:val="00F36247"/>
    <w:rsid w:val="00F405D0"/>
    <w:rsid w:val="00F4072A"/>
    <w:rsid w:val="00F416D6"/>
    <w:rsid w:val="00F424E1"/>
    <w:rsid w:val="00F45FB3"/>
    <w:rsid w:val="00F50CE9"/>
    <w:rsid w:val="00F52218"/>
    <w:rsid w:val="00F53245"/>
    <w:rsid w:val="00F5552D"/>
    <w:rsid w:val="00F61D32"/>
    <w:rsid w:val="00F622F9"/>
    <w:rsid w:val="00F62A8B"/>
    <w:rsid w:val="00F6439F"/>
    <w:rsid w:val="00F7441C"/>
    <w:rsid w:val="00F8030E"/>
    <w:rsid w:val="00F8305D"/>
    <w:rsid w:val="00F85E60"/>
    <w:rsid w:val="00F87754"/>
    <w:rsid w:val="00F90543"/>
    <w:rsid w:val="00F9406A"/>
    <w:rsid w:val="00FA48B7"/>
    <w:rsid w:val="00FB3C44"/>
    <w:rsid w:val="00FC6843"/>
    <w:rsid w:val="00FC754C"/>
    <w:rsid w:val="00FD19D2"/>
    <w:rsid w:val="00FE153C"/>
    <w:rsid w:val="00FF083E"/>
    <w:rsid w:val="00FF35CC"/>
    <w:rsid w:val="09CB1F70"/>
    <w:rsid w:val="0D0222CC"/>
    <w:rsid w:val="11476375"/>
    <w:rsid w:val="1BAA5A56"/>
    <w:rsid w:val="1E6E15C6"/>
    <w:rsid w:val="29E32417"/>
    <w:rsid w:val="358B08F4"/>
    <w:rsid w:val="3633187B"/>
    <w:rsid w:val="3E946A9F"/>
    <w:rsid w:val="58F63811"/>
    <w:rsid w:val="5B3F39F4"/>
    <w:rsid w:val="61FF3FD4"/>
    <w:rsid w:val="62103048"/>
    <w:rsid w:val="63A44ED1"/>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87"/>
        <o:r id="V:Rule2" type="connector" idref="#Straight Connector 91"/>
        <o:r id="V:Rule3" type="connector" idref="#Straight Connector 93"/>
        <o:r id="V:Rule4" type="connector" idref="#Straight Connector 94"/>
        <o:r id="V:Rule5" type="connector" idref="#Straight Connector 89"/>
        <o:r id="V:Rule6" type="connector" idref="#Straight Connector 92"/>
        <o:r id="V:Rule7" type="connector" idref="#Straight Connector 95"/>
        <o:r id="V:Rule8" type="connector" idref="#Straight Connector 96"/>
        <o:r id="V:Rule9" type="connector" idref="#Straight Connector 90"/>
        <o:r id="V:Rule10" type="connector" idref="#Straight Connector 88"/>
        <o:r id="V:Rule11" type="connector" idref="#Straight Connector 98"/>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3"/>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table" w:styleId="8">
    <w:name w:val="Table Grid"/>
    <w:basedOn w:val="7"/>
    <w:uiPriority w:val="59"/>
    <w:p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9">
    <w:name w:val="List Paragraph"/>
    <w:basedOn w:val="1"/>
    <w:qFormat/>
    <w:uiPriority w:val="34"/>
    <w:pPr>
      <w:ind w:firstLine="420" w:firstLineChars="200"/>
    </w:pPr>
  </w:style>
  <w:style w:type="paragraph" w:customStyle="1" w:styleId="10">
    <w:name w:val="Revision"/>
    <w:hidden/>
    <w:semiHidden/>
    <w:uiPriority w:val="99"/>
    <w:rPr>
      <w:rFonts w:ascii="Calibri" w:hAnsi="Calibri" w:eastAsia="宋体" w:cs="黑体"/>
      <w:kern w:val="2"/>
      <w:sz w:val="21"/>
      <w:szCs w:val="22"/>
      <w:lang w:val="en-US" w:eastAsia="zh-CN" w:bidi="ar-SA"/>
    </w:rPr>
  </w:style>
  <w:style w:type="character" w:customStyle="1" w:styleId="11">
    <w:name w:val="页眉 Char"/>
    <w:basedOn w:val="5"/>
    <w:link w:val="4"/>
    <w:uiPriority w:val="99"/>
    <w:rPr>
      <w:sz w:val="18"/>
      <w:szCs w:val="18"/>
    </w:rPr>
  </w:style>
  <w:style w:type="character" w:customStyle="1" w:styleId="12">
    <w:name w:val="页脚 Char"/>
    <w:basedOn w:val="5"/>
    <w:link w:val="3"/>
    <w:uiPriority w:val="99"/>
    <w:rPr>
      <w:sz w:val="18"/>
      <w:szCs w:val="18"/>
    </w:rPr>
  </w:style>
  <w:style w:type="character" w:customStyle="1" w:styleId="13">
    <w:name w:val="批注框文本 Char"/>
    <w:basedOn w:val="5"/>
    <w:link w:val="2"/>
    <w:semiHidden/>
    <w:uiPriority w:val="99"/>
    <w:rPr>
      <w:sz w:val="18"/>
      <w:szCs w:val="18"/>
    </w:rPr>
  </w:style>
  <w:style w:type="character" w:customStyle="1" w:styleId="14">
    <w:name w:val="mini-outputtext"/>
    <w:basedOn w:val="5"/>
    <w:uiPriority w:val="0"/>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706</Words>
  <Characters>4028</Characters>
  <Lines>33</Lines>
  <Paragraphs>9</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张谦</cp:lastModifiedBy>
  <cp:lastPrinted>2021-02-02T06:12:00Z</cp:lastPrinted>
  <dcterms:modified xsi:type="dcterms:W3CDTF">2021-02-07T07:47:20Z</dcterms:modified>
  <dc:title>编号：57001-1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