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jc w:val="center"/>
        <w:tblLook w:val="04A0"/>
      </w:tblPr>
      <w:tblGrid>
        <w:gridCol w:w="780"/>
        <w:gridCol w:w="1128"/>
        <w:gridCol w:w="932"/>
        <w:gridCol w:w="1040"/>
        <w:gridCol w:w="1020"/>
        <w:gridCol w:w="996"/>
        <w:gridCol w:w="1120"/>
        <w:gridCol w:w="1220"/>
        <w:gridCol w:w="1280"/>
      </w:tblGrid>
      <w:tr w:rsidR="00CB5DA3">
        <w:trPr>
          <w:trHeight w:val="524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DA3" w:rsidRDefault="007151CF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Start w:id="1" w:name="RANGE!A1:I38"/>
            <w:bookmarkEnd w:id="0"/>
            <w:r>
              <w:rPr>
                <w:b/>
                <w:bCs/>
                <w:kern w:val="0"/>
                <w:sz w:val="24"/>
                <w:szCs w:val="24"/>
              </w:rPr>
              <w:t>19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85</w:t>
            </w:r>
            <w:r>
              <w:rPr>
                <w:b/>
                <w:bCs/>
                <w:kern w:val="0"/>
                <w:sz w:val="24"/>
                <w:szCs w:val="24"/>
              </w:rPr>
              <w:t>-20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 w:hint="eastAsia"/>
                <w:b/>
                <w:bCs/>
                <w:kern w:val="0"/>
                <w:sz w:val="24"/>
                <w:szCs w:val="24"/>
              </w:rPr>
              <w:t>年中国长期与短期外债的结构与增长</w:t>
            </w:r>
            <w:bookmarkEnd w:id="1"/>
          </w:p>
        </w:tc>
      </w:tr>
      <w:tr w:rsidR="00CB5DA3">
        <w:trPr>
          <w:trHeight w:val="37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2203C">
              <w:rPr>
                <w:rFonts w:ascii="宋体" w:hAnsi="宋体" w:cs="宋体" w:hint="eastAsia"/>
                <w:kern w:val="0"/>
                <w:sz w:val="20"/>
              </w:rPr>
              <w:t>项目</w:t>
            </w:r>
            <w:r w:rsidRPr="0072203C">
              <w:rPr>
                <w:rFonts w:ascii="宋体" w:hAnsi="宋体" w:cs="宋体" w:hint="eastAsia"/>
                <w:kern w:val="0"/>
                <w:sz w:val="20"/>
              </w:rPr>
              <w:t>/</w:t>
            </w:r>
            <w:r w:rsidRPr="0072203C">
              <w:rPr>
                <w:rFonts w:ascii="宋体" w:hAnsi="宋体" w:cs="宋体" w:hint="eastAsia"/>
                <w:kern w:val="0"/>
                <w:sz w:val="20"/>
              </w:rPr>
              <w:t>年度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2203C">
              <w:rPr>
                <w:rFonts w:ascii="宋体" w:hAnsi="宋体" w:cs="宋体" w:hint="eastAsia"/>
                <w:kern w:val="0"/>
                <w:sz w:val="20"/>
              </w:rPr>
              <w:t>外债余额（十亿美元）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2203C">
              <w:rPr>
                <w:rFonts w:ascii="宋体" w:hAnsi="宋体" w:cs="宋体" w:hint="eastAsia"/>
                <w:kern w:val="0"/>
                <w:sz w:val="20"/>
              </w:rPr>
              <w:t>中长期外债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2203C">
              <w:rPr>
                <w:rFonts w:ascii="宋体" w:hAnsi="宋体" w:cs="宋体" w:hint="eastAsia"/>
                <w:kern w:val="0"/>
                <w:sz w:val="20"/>
              </w:rPr>
              <w:t>短期外债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2203C">
              <w:rPr>
                <w:rFonts w:ascii="宋体" w:hAnsi="宋体" w:cs="宋体" w:hint="eastAsia"/>
                <w:kern w:val="0"/>
                <w:sz w:val="20"/>
              </w:rPr>
              <w:t>短期外债与外汇储备的比例</w:t>
            </w:r>
          </w:p>
        </w:tc>
      </w:tr>
      <w:tr w:rsidR="00CB5DA3">
        <w:trPr>
          <w:trHeight w:val="91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A3" w:rsidRPr="0072203C" w:rsidRDefault="00CB5DA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A3" w:rsidRPr="0072203C" w:rsidRDefault="00CB5DA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2203C">
              <w:rPr>
                <w:rFonts w:ascii="宋体" w:hAnsi="宋体" w:cs="宋体" w:hint="eastAsia"/>
                <w:kern w:val="0"/>
                <w:sz w:val="20"/>
              </w:rPr>
              <w:t>余额（十亿美元）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2203C">
              <w:rPr>
                <w:rFonts w:ascii="宋体" w:hAnsi="宋体" w:cs="宋体" w:hint="eastAsia"/>
                <w:kern w:val="0"/>
                <w:sz w:val="20"/>
              </w:rPr>
              <w:t>比上年增长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ascii="宋体" w:hAnsi="宋体" w:hint="eastAsia"/>
                <w:kern w:val="0"/>
                <w:sz w:val="20"/>
              </w:rPr>
              <w:t>占总余额的比例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2203C">
              <w:rPr>
                <w:rFonts w:ascii="宋体" w:hAnsi="宋体" w:cs="宋体" w:hint="eastAsia"/>
                <w:kern w:val="0"/>
                <w:sz w:val="20"/>
              </w:rPr>
              <w:t>余额（十亿美元）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ascii="宋体" w:hAnsi="宋体" w:hint="eastAsia"/>
                <w:kern w:val="0"/>
                <w:sz w:val="20"/>
              </w:rPr>
              <w:t>比上年增长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ascii="宋体" w:hAnsi="宋体" w:hint="eastAsia"/>
                <w:kern w:val="0"/>
                <w:sz w:val="20"/>
              </w:rPr>
              <w:t>占总余额的比例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A3" w:rsidRPr="0072203C" w:rsidRDefault="00CB5DA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rPr>
                <w:sz w:val="20"/>
              </w:rPr>
            </w:pPr>
            <w:r w:rsidRPr="0072203C">
              <w:rPr>
                <w:sz w:val="20"/>
              </w:rPr>
              <w:t xml:space="preserve">1985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15.83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9.41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color w:val="FF0000"/>
                <w:sz w:val="20"/>
              </w:rPr>
            </w:pPr>
            <w:r w:rsidRPr="0072203C">
              <w:rPr>
                <w:rFonts w:hint="eastAsia"/>
                <w:kern w:val="0"/>
                <w:sz w:val="20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59.4%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6.42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color w:val="FF0000"/>
                <w:sz w:val="20"/>
              </w:rPr>
            </w:pPr>
            <w:r w:rsidRPr="0072203C">
              <w:rPr>
                <w:rFonts w:hint="eastAsia"/>
                <w:kern w:val="0"/>
                <w:sz w:val="20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40.6%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242.8%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rPr>
                <w:sz w:val="20"/>
              </w:rPr>
            </w:pPr>
            <w:r w:rsidRPr="0072203C">
              <w:rPr>
                <w:sz w:val="20"/>
              </w:rPr>
              <w:t xml:space="preserve">1986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21.48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16.71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77.6%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77.8%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4.77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-25.7%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22.2%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230.2%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rPr>
                <w:sz w:val="20"/>
              </w:rPr>
            </w:pPr>
            <w:r w:rsidRPr="0072203C">
              <w:rPr>
                <w:sz w:val="20"/>
              </w:rPr>
              <w:t xml:space="preserve">1987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30.20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24.48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46.5%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81.1%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5.72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19.9%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18.9%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195.7%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rPr>
                <w:sz w:val="20"/>
              </w:rPr>
            </w:pPr>
            <w:r w:rsidRPr="0072203C">
              <w:rPr>
                <w:sz w:val="20"/>
              </w:rPr>
              <w:t xml:space="preserve">1988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40.00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32.69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33.5%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81.7%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7.31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27.8%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18.3%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216.8%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rPr>
                <w:sz w:val="20"/>
              </w:rPr>
            </w:pPr>
            <w:r w:rsidRPr="0072203C">
              <w:rPr>
                <w:sz w:val="20"/>
              </w:rPr>
              <w:t xml:space="preserve">1989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41.30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37.03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89.7%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4.27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-41.6%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10.3%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76.9%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52.55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45.78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23.6%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87.1%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6.77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61.0%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60.56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50.26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83.0%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10.30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52.1%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47.4%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69.32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58.47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16.3%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84.3%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10.85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15.7%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55.8%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83.57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70.02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83.8%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13.55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16.2%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63.9%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92.81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82.39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17.7%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10.42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-23.1%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20.2%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106.59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94.68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11.91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14.3%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16.2%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116.28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102.17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7.9%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14.11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13.4%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130.96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112.82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10.4%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86.1%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18.14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28.6%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13.9%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13.0%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146.04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128.70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14.1%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88.1%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17.34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-4.4%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11.9%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12.0%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151.83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136.65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90.0%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15.18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-12.5%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10.0%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9.8%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145.73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132.65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91.0%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13.08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-13.8%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9.0%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7.9%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203.30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119.53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hint="eastAsia"/>
                <w:kern w:val="0"/>
                <w:sz w:val="20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83.77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hint="eastAsia"/>
                <w:kern w:val="0"/>
                <w:sz w:val="20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39.5%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202.63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115.55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57.0%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87.08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43.0%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30.4%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219.36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116.59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53.2%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102.77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25.5%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262.99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124.29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47.3%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138.71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35.0%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52.7%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22.7%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296.54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124.90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42.1%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171.64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23.7%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21.0%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338.59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139.36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11.6%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41.2%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199.23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16.1%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58.8%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18.7%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389.22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153.53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10.2%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39.4%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235.68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18.3%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15.4%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390.16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163.88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6.7%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42.0%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226.28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58.0%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11.6%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2009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428.65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169.39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39.5%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259.26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14.6%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10.8%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548.94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173.24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31.6%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375.70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44.9%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13.2%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2011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695.00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12.0%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500.90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33.3%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72.1%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15.7%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2012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736.99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196.06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26.6%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540.93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73.4%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16.3%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2013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863.17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186.54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21.6%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676.63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25.1%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78.4%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17.7%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2014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1779.90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481.70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hint="eastAsia"/>
                <w:kern w:val="0"/>
                <w:sz w:val="20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27.1%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1298.20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hint="eastAsia"/>
                <w:kern w:val="0"/>
                <w:sz w:val="20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72.9%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33.8%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2015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1382.98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495.57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35.8%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887.41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-31.6%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64.2%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26.6%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2203C">
              <w:rPr>
                <w:color w:val="000000"/>
                <w:kern w:val="0"/>
                <w:sz w:val="20"/>
              </w:rPr>
              <w:t xml:space="preserve">2016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14</w:t>
            </w:r>
            <w:r w:rsidRPr="0072203C">
              <w:rPr>
                <w:rFonts w:hint="eastAsia"/>
                <w:kern w:val="0"/>
                <w:sz w:val="20"/>
              </w:rPr>
              <w:t>15.80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 xml:space="preserve">549.76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38.</w:t>
            </w:r>
            <w:r w:rsidRPr="0072203C">
              <w:rPr>
                <w:rFonts w:hint="eastAsia"/>
                <w:kern w:val="0"/>
                <w:sz w:val="20"/>
              </w:rPr>
              <w:t>8</w:t>
            </w:r>
            <w:r w:rsidRPr="0072203C">
              <w:rPr>
                <w:kern w:val="0"/>
                <w:sz w:val="20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hint="eastAsia"/>
                <w:kern w:val="0"/>
                <w:sz w:val="20"/>
              </w:rPr>
              <w:t>866.04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-</w:t>
            </w:r>
            <w:r w:rsidRPr="0072203C">
              <w:rPr>
                <w:rFonts w:hint="eastAsia"/>
                <w:kern w:val="0"/>
                <w:sz w:val="20"/>
              </w:rPr>
              <w:t>2.4</w:t>
            </w:r>
            <w:r w:rsidRPr="0072203C">
              <w:rPr>
                <w:kern w:val="0"/>
                <w:sz w:val="20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61.</w:t>
            </w:r>
            <w:r w:rsidRPr="0072203C">
              <w:rPr>
                <w:rFonts w:hint="eastAsia"/>
                <w:kern w:val="0"/>
                <w:sz w:val="20"/>
              </w:rPr>
              <w:t>2</w:t>
            </w:r>
            <w:r w:rsidRPr="0072203C">
              <w:rPr>
                <w:kern w:val="0"/>
                <w:sz w:val="2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rFonts w:hint="eastAsia"/>
                <w:kern w:val="0"/>
                <w:sz w:val="20"/>
              </w:rPr>
              <w:t>28.8</w:t>
            </w:r>
            <w:r w:rsidRPr="0072203C">
              <w:rPr>
                <w:kern w:val="0"/>
                <w:sz w:val="20"/>
              </w:rPr>
              <w:t>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2203C">
              <w:rPr>
                <w:rFonts w:hint="eastAsia"/>
                <w:color w:val="000000"/>
                <w:kern w:val="0"/>
                <w:sz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1757.96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612.72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11.5%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34.9%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1145.24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32.2%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65.1%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DA3" w:rsidRPr="0072203C" w:rsidRDefault="007151CF">
            <w:pPr>
              <w:widowControl/>
              <w:jc w:val="center"/>
              <w:rPr>
                <w:kern w:val="0"/>
                <w:sz w:val="20"/>
              </w:rPr>
            </w:pPr>
            <w:r w:rsidRPr="0072203C">
              <w:rPr>
                <w:kern w:val="0"/>
                <w:sz w:val="20"/>
              </w:rPr>
              <w:t>36.5%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2203C">
              <w:rPr>
                <w:rFonts w:hint="eastAsia"/>
                <w:color w:val="000000"/>
                <w:kern w:val="0"/>
                <w:sz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1982.75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693.60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13.2%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35.0%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right"/>
              <w:rPr>
                <w:sz w:val="20"/>
              </w:rPr>
            </w:pPr>
            <w:r w:rsidRPr="0072203C">
              <w:rPr>
                <w:sz w:val="20"/>
              </w:rPr>
              <w:t xml:space="preserve">1289.15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12.6%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65.0%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42.0%</w:t>
            </w:r>
          </w:p>
        </w:tc>
      </w:tr>
      <w:tr w:rsidR="00CB5DA3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2203C">
              <w:rPr>
                <w:rFonts w:hint="eastAsia"/>
                <w:color w:val="000000"/>
                <w:kern w:val="0"/>
                <w:sz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2070.81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 xml:space="preserve">851.97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22.8%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41.1</w:t>
            </w:r>
            <w:r w:rsidRPr="0072203C">
              <w:rPr>
                <w:sz w:val="20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right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1218.84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-</w:t>
            </w:r>
            <w:r w:rsidRPr="0072203C">
              <w:rPr>
                <w:rFonts w:hint="eastAsia"/>
                <w:sz w:val="20"/>
              </w:rPr>
              <w:t>5</w:t>
            </w:r>
            <w:r w:rsidRPr="0072203C">
              <w:rPr>
                <w:sz w:val="20"/>
              </w:rPr>
              <w:t>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58.</w:t>
            </w:r>
            <w:r w:rsidRPr="0072203C">
              <w:rPr>
                <w:rFonts w:hint="eastAsia"/>
                <w:sz w:val="20"/>
              </w:rPr>
              <w:t>9</w:t>
            </w:r>
            <w:r w:rsidRPr="0072203C">
              <w:rPr>
                <w:sz w:val="2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39.2</w:t>
            </w:r>
            <w:r w:rsidRPr="0072203C">
              <w:rPr>
                <w:sz w:val="20"/>
              </w:rPr>
              <w:t>%</w:t>
            </w:r>
          </w:p>
        </w:tc>
      </w:tr>
      <w:tr w:rsidR="00CB5DA3">
        <w:trPr>
          <w:trHeight w:val="18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2203C">
              <w:rPr>
                <w:rFonts w:hint="eastAsia"/>
                <w:color w:val="000000"/>
                <w:kern w:val="0"/>
                <w:sz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2400.81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1084.44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27.3%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45.2%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right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1316.37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54.8%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rFonts w:hint="eastAsia"/>
                <w:sz w:val="20"/>
              </w:rPr>
              <w:t>40.9%</w:t>
            </w:r>
          </w:p>
        </w:tc>
      </w:tr>
      <w:tr w:rsidR="00CB5DA3">
        <w:trPr>
          <w:trHeight w:val="1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72203C">
              <w:rPr>
                <w:color w:val="000000"/>
                <w:kern w:val="0"/>
                <w:sz w:val="20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2746.56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1300.33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19.9%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47.3%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right"/>
              <w:rPr>
                <w:sz w:val="20"/>
              </w:rPr>
            </w:pPr>
            <w:r w:rsidRPr="0072203C">
              <w:rPr>
                <w:sz w:val="20"/>
              </w:rPr>
              <w:t>1446.23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9.9%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52.7%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A3" w:rsidRPr="0072203C" w:rsidRDefault="007151CF">
            <w:pPr>
              <w:jc w:val="center"/>
              <w:rPr>
                <w:sz w:val="20"/>
              </w:rPr>
            </w:pPr>
            <w:r w:rsidRPr="0072203C">
              <w:rPr>
                <w:sz w:val="20"/>
              </w:rPr>
              <w:t>44.5%</w:t>
            </w:r>
          </w:p>
        </w:tc>
      </w:tr>
      <w:tr w:rsidR="00CB5DA3">
        <w:trPr>
          <w:trHeight w:val="855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DA3" w:rsidRDefault="00CB5DA3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  <w:p w:rsidR="00CB5DA3" w:rsidRDefault="007151CF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注：</w:t>
            </w:r>
            <w:r>
              <w:rPr>
                <w:kern w:val="0"/>
                <w:sz w:val="20"/>
              </w:rPr>
              <w:t xml:space="preserve">1. </w:t>
            </w:r>
            <w:r>
              <w:rPr>
                <w:rFonts w:ascii="宋体" w:hAnsi="宋体" w:hint="eastAsia"/>
                <w:kern w:val="0"/>
                <w:sz w:val="20"/>
              </w:rPr>
              <w:t>自</w:t>
            </w:r>
            <w:r>
              <w:rPr>
                <w:kern w:val="0"/>
                <w:sz w:val="20"/>
              </w:rPr>
              <w:t>2001</w:t>
            </w:r>
            <w:r>
              <w:rPr>
                <w:rFonts w:ascii="宋体" w:hAnsi="宋体" w:hint="eastAsia"/>
                <w:kern w:val="0"/>
                <w:sz w:val="20"/>
              </w:rPr>
              <w:t>年起，我国按照当时的国际标准对原外债口径进行了调整，并将未来一年内到期的中长期外债纳入短期外债（剩余期限）统计，由于调整后的外债数据与</w:t>
            </w:r>
            <w:r>
              <w:rPr>
                <w:kern w:val="0"/>
                <w:sz w:val="20"/>
              </w:rPr>
              <w:t>2000</w:t>
            </w:r>
            <w:r>
              <w:rPr>
                <w:rFonts w:ascii="宋体" w:hAnsi="宋体" w:hint="eastAsia"/>
                <w:kern w:val="0"/>
                <w:sz w:val="20"/>
              </w:rPr>
              <w:t>年及以前年度的外债数据不具可比性，故未计算上表中</w:t>
            </w:r>
            <w:r>
              <w:rPr>
                <w:kern w:val="0"/>
                <w:sz w:val="20"/>
              </w:rPr>
              <w:t>2001</w:t>
            </w:r>
            <w:r>
              <w:rPr>
                <w:rFonts w:ascii="宋体" w:hAnsi="宋体" w:hint="eastAsia"/>
                <w:kern w:val="0"/>
                <w:sz w:val="20"/>
              </w:rPr>
              <w:t>年“外债余额比上年增长”项。</w:t>
            </w:r>
          </w:p>
        </w:tc>
      </w:tr>
      <w:tr w:rsidR="00CB5DA3">
        <w:trPr>
          <w:trHeight w:val="1230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DA3" w:rsidRDefault="007151CF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2. 2015</w:t>
            </w:r>
            <w:r>
              <w:rPr>
                <w:rFonts w:ascii="宋体" w:hAnsi="宋体" w:hint="eastAsia"/>
                <w:kern w:val="0"/>
                <w:sz w:val="20"/>
              </w:rPr>
              <w:t>年，我国按照国际货币基金组织数据公布特殊标准（</w:t>
            </w:r>
            <w:r>
              <w:rPr>
                <w:kern w:val="0"/>
                <w:sz w:val="20"/>
              </w:rPr>
              <w:t>SDDS)</w:t>
            </w:r>
            <w:r>
              <w:rPr>
                <w:rFonts w:ascii="宋体" w:hAnsi="宋体" w:hint="eastAsia"/>
                <w:kern w:val="0"/>
                <w:sz w:val="20"/>
              </w:rPr>
              <w:t>调整了外债统计口径并对外公布全口径外债数据，将人民币外债纳入统计，并按签约期限划分中长期和短期外债。为保证数据的可比性，本表将</w:t>
            </w:r>
            <w:r>
              <w:rPr>
                <w:kern w:val="0"/>
                <w:sz w:val="20"/>
              </w:rPr>
              <w:t>2014</w:t>
            </w:r>
            <w:r>
              <w:rPr>
                <w:rFonts w:ascii="宋体" w:hAnsi="宋体" w:hint="eastAsia"/>
                <w:kern w:val="0"/>
                <w:sz w:val="20"/>
              </w:rPr>
              <w:t>年末外债数据相应调整为全口径外债数据，由于全口径外债数据与此前外债数据（原口径为外币外债数据）不具可比性，故未计算上表中</w:t>
            </w:r>
            <w:r>
              <w:rPr>
                <w:kern w:val="0"/>
                <w:sz w:val="20"/>
              </w:rPr>
              <w:t>2014</w:t>
            </w:r>
            <w:r>
              <w:rPr>
                <w:rFonts w:ascii="宋体" w:hAnsi="宋体"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>“</w:t>
            </w:r>
            <w:r>
              <w:rPr>
                <w:rFonts w:ascii="宋体" w:hAnsi="宋体" w:hint="eastAsia"/>
                <w:kern w:val="0"/>
                <w:sz w:val="20"/>
              </w:rPr>
              <w:t>外债余额比上年增长</w:t>
            </w:r>
            <w:r>
              <w:rPr>
                <w:kern w:val="0"/>
                <w:sz w:val="20"/>
              </w:rPr>
              <w:t>”</w:t>
            </w:r>
            <w:r>
              <w:rPr>
                <w:rFonts w:ascii="宋体" w:hAnsi="宋体" w:hint="eastAsia"/>
                <w:kern w:val="0"/>
                <w:sz w:val="20"/>
              </w:rPr>
              <w:t>项。</w:t>
            </w:r>
          </w:p>
        </w:tc>
      </w:tr>
    </w:tbl>
    <w:p w:rsidR="00CB5DA3" w:rsidRDefault="00CB5DA3">
      <w:pPr>
        <w:ind w:firstLine="420"/>
      </w:pPr>
    </w:p>
    <w:sectPr w:rsidR="00CB5DA3" w:rsidSect="00CB5DA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CF" w:rsidRDefault="007151CF">
      <w:r>
        <w:separator/>
      </w:r>
    </w:p>
  </w:endnote>
  <w:endnote w:type="continuationSeparator" w:id="1">
    <w:p w:rsidR="007151CF" w:rsidRDefault="0071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A3" w:rsidRDefault="00CB5DA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 filled="f" stroked="f" strokeweight=".5pt">
          <v:textbox style="mso-fit-shape-to-text:t" inset="0,0,0,0">
            <w:txbxContent>
              <w:p w:rsidR="00CB5DA3" w:rsidRDefault="00CB5DA3">
                <w:pPr>
                  <w:pStyle w:val="a4"/>
                </w:pPr>
                <w:r>
                  <w:fldChar w:fldCharType="begin"/>
                </w:r>
                <w:r w:rsidR="007151CF">
                  <w:instrText xml:space="preserve"> PAGE  \* MERGEFORMAT </w:instrText>
                </w:r>
                <w:r>
                  <w:fldChar w:fldCharType="separate"/>
                </w:r>
                <w:r w:rsidR="007220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CF" w:rsidRDefault="007151CF">
      <w:r>
        <w:separator/>
      </w:r>
    </w:p>
  </w:footnote>
  <w:footnote w:type="continuationSeparator" w:id="1">
    <w:p w:rsidR="007151CF" w:rsidRDefault="00715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A3" w:rsidRDefault="00CB5DA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36F"/>
    <w:rsid w:val="CFEF1E5E"/>
    <w:rsid w:val="FCD661BD"/>
    <w:rsid w:val="0005399E"/>
    <w:rsid w:val="000740D4"/>
    <w:rsid w:val="000B4E5C"/>
    <w:rsid w:val="001A3A95"/>
    <w:rsid w:val="002F6341"/>
    <w:rsid w:val="0039036F"/>
    <w:rsid w:val="003B33BD"/>
    <w:rsid w:val="003D640D"/>
    <w:rsid w:val="004932FC"/>
    <w:rsid w:val="005D42D4"/>
    <w:rsid w:val="006D11D1"/>
    <w:rsid w:val="007151CF"/>
    <w:rsid w:val="0072203C"/>
    <w:rsid w:val="00726275"/>
    <w:rsid w:val="00766F03"/>
    <w:rsid w:val="0077761D"/>
    <w:rsid w:val="00804413"/>
    <w:rsid w:val="008A4EAE"/>
    <w:rsid w:val="00984B0E"/>
    <w:rsid w:val="00A2237C"/>
    <w:rsid w:val="00A24200"/>
    <w:rsid w:val="00BD02D7"/>
    <w:rsid w:val="00BE33DB"/>
    <w:rsid w:val="00C1493B"/>
    <w:rsid w:val="00C96A88"/>
    <w:rsid w:val="00CB5DA3"/>
    <w:rsid w:val="00D46A5B"/>
    <w:rsid w:val="00DE11F2"/>
    <w:rsid w:val="00E34BD0"/>
    <w:rsid w:val="00F3585A"/>
    <w:rsid w:val="1F387DB8"/>
    <w:rsid w:val="3FDE8B84"/>
    <w:rsid w:val="3FFFE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B5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B5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B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B5D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B5D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B5D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2022-03-22T10:47:00Z</cp:lastPrinted>
  <dcterms:created xsi:type="dcterms:W3CDTF">2020-03-25T06:24:00Z</dcterms:created>
  <dcterms:modified xsi:type="dcterms:W3CDTF">2022-03-24T03:28:00Z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