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地（市）分局办理的个人提取规定金额以上外币现钞核准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【00017110600502】</w:t>
      </w:r>
    </w:p>
    <w:p>
      <w:pPr>
        <w:numPr>
          <w:ilvl w:val="0"/>
          <w:numId w:val="1"/>
        </w:numPr>
        <w:spacing w:line="540" w:lineRule="exact"/>
        <w:outlineLvl w:val="1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基本要素</w:t>
      </w:r>
    </w:p>
    <w:p>
      <w:pPr>
        <w:spacing w:line="540" w:lineRule="exact"/>
        <w:ind w:firstLine="562" w:firstLineChars="200"/>
        <w:outlineLvl w:val="2"/>
        <w:rPr>
          <w:rFonts w:ascii="Times New Roman" w:hAnsi="Times New Roman" w:eastAsia="仿宋GB2312"/>
          <w:b/>
          <w:bCs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1.</w:t>
      </w:r>
      <w:r>
        <w:rPr>
          <w:rFonts w:ascii="Times New Roman" w:hAnsi="Times New Roman" w:eastAsia="仿宋GB2312"/>
          <w:b/>
          <w:bCs/>
          <w:sz w:val="28"/>
          <w:szCs w:val="28"/>
        </w:rPr>
        <w:t>行政许可事项名称</w:t>
      </w:r>
      <w:r>
        <w:rPr>
          <w:rFonts w:hint="eastAsia" w:ascii="Times New Roman" w:hAnsi="Times New Roman" w:eastAsia="仿宋GB2312"/>
          <w:b/>
          <w:bCs/>
          <w:sz w:val="28"/>
          <w:szCs w:val="28"/>
        </w:rPr>
        <w:t>及编码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外币现钞提取、出境携带、跨境调运核准【00017110600Y】</w:t>
      </w:r>
    </w:p>
    <w:p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2.</w:t>
      </w:r>
      <w:r>
        <w:rPr>
          <w:rFonts w:ascii="Times New Roman" w:hAnsi="Times New Roman" w:eastAsia="仿宋GB2312"/>
          <w:b/>
          <w:bCs/>
          <w:sz w:val="28"/>
          <w:szCs w:val="28"/>
        </w:rPr>
        <w:t>行政许可</w:t>
      </w:r>
      <w:r>
        <w:rPr>
          <w:rFonts w:hint="eastAsia" w:ascii="Times New Roman" w:hAnsi="Times New Roman" w:eastAsia="仿宋GB2312"/>
          <w:b/>
          <w:bCs/>
          <w:sz w:val="28"/>
          <w:szCs w:val="28"/>
        </w:rPr>
        <w:t>事项子项名称及编码</w:t>
      </w:r>
    </w:p>
    <w:p>
      <w:pPr>
        <w:spacing w:line="360" w:lineRule="auto"/>
        <w:ind w:firstLine="560" w:firstLineChars="20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地（市）分局办理的个人提取规定金额以上外币现钞核准【000171106005】</w:t>
      </w:r>
    </w:p>
    <w:p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3.行政许可事项业务办理项名称及编码</w:t>
      </w:r>
    </w:p>
    <w:p>
      <w:pPr>
        <w:spacing w:line="360" w:lineRule="auto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地（市）分局办理的个人提取规定金额以上外币现钞核准(00017110600502)</w:t>
      </w:r>
    </w:p>
    <w:p>
      <w:pPr>
        <w:spacing w:line="360" w:lineRule="auto"/>
        <w:ind w:firstLine="562" w:firstLineChars="200"/>
        <w:rPr>
          <w:rFonts w:hint="eastAsia" w:ascii="Times New Roman" w:hAnsi="Times New Roman" w:eastAsia="仿宋GB2312"/>
          <w:b/>
          <w:bCs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4.设定依据</w:t>
      </w:r>
    </w:p>
    <w:p>
      <w:pPr>
        <w:spacing w:line="540" w:lineRule="exact"/>
        <w:ind w:firstLine="560" w:firstLineChars="200"/>
        <w:outlineLvl w:val="2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《国务院对确需保留的行政审批项目设定行政许可的决定》</w:t>
      </w:r>
    </w:p>
    <w:p>
      <w:pPr>
        <w:spacing w:line="540" w:lineRule="exact"/>
        <w:ind w:firstLine="562" w:firstLineChars="200"/>
        <w:outlineLvl w:val="2"/>
        <w:rPr>
          <w:rFonts w:ascii="Times New Roman" w:hAnsi="Times New Roman" w:eastAsia="仿宋GB2312"/>
          <w:b/>
          <w:bCs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5.实施依据</w:t>
      </w:r>
    </w:p>
    <w:p>
      <w:pPr>
        <w:spacing w:line="540" w:lineRule="exact"/>
        <w:ind w:firstLine="560" w:firstLineChars="200"/>
        <w:outlineLvl w:val="2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（1）《个人外汇管理办法》（中国人民银行令2006年第3号）第三十条</w:t>
      </w:r>
    </w:p>
    <w:p>
      <w:pPr>
        <w:spacing w:line="540" w:lineRule="exact"/>
        <w:ind w:firstLine="560" w:firstLineChars="200"/>
        <w:outlineLvl w:val="2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（2）《经常项目外汇业务指引（2020年版）》（汇发〔2020〕14号文印发）第八十六条</w:t>
      </w:r>
    </w:p>
    <w:p>
      <w:pPr>
        <w:spacing w:line="540" w:lineRule="exact"/>
        <w:ind w:firstLine="560" w:firstLineChars="200"/>
        <w:outlineLvl w:val="2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（3）《国家外汇管理局行政许可实施办法》（国家外汇管理局公告2021年第1号）</w:t>
      </w:r>
    </w:p>
    <w:p>
      <w:pPr>
        <w:spacing w:line="540" w:lineRule="exact"/>
        <w:ind w:firstLine="560" w:firstLineChars="200"/>
        <w:outlineLvl w:val="2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（4）《个人外汇管理办法》（中国人民银行令2006年第3号）第三十四条</w:t>
      </w:r>
    </w:p>
    <w:p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6.监管依据</w:t>
      </w:r>
    </w:p>
    <w:p>
      <w:pPr>
        <w:spacing w:line="540" w:lineRule="exact"/>
        <w:ind w:firstLine="560" w:firstLineChars="200"/>
        <w:outlineLvl w:val="2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《中华人民共和国外汇管理条例》</w:t>
      </w:r>
    </w:p>
    <w:p>
      <w:pPr>
        <w:spacing w:line="600" w:lineRule="exact"/>
        <w:ind w:firstLine="562" w:firstLineChars="200"/>
        <w:rPr>
          <w:rFonts w:hint="eastAsia" w:ascii="Times New Roman" w:hAnsi="Times New Roman" w:eastAsia="方正仿宋_GBK"/>
          <w:sz w:val="28"/>
          <w:szCs w:val="28"/>
          <w:lang w:eastAsia="zh-CN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7.</w:t>
      </w:r>
      <w:r>
        <w:rPr>
          <w:rFonts w:ascii="Times New Roman" w:hAnsi="Times New Roman" w:eastAsia="仿宋GB2312"/>
          <w:b/>
          <w:bCs/>
          <w:sz w:val="28"/>
          <w:szCs w:val="28"/>
        </w:rPr>
        <w:t>实施机关</w:t>
      </w:r>
      <w:r>
        <w:rPr>
          <w:rFonts w:hint="eastAsia" w:ascii="Times New Roman" w:hAnsi="Times New Roman" w:eastAsia="仿宋GB2312"/>
          <w:b/>
          <w:bCs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sz w:val="28"/>
          <w:szCs w:val="28"/>
        </w:rPr>
        <w:t>国家外汇局地（市）分局</w:t>
      </w:r>
      <w:r>
        <w:rPr>
          <w:rFonts w:hint="eastAsia" w:ascii="方正仿宋_GBK" w:hAnsi="方正仿宋_GBK" w:eastAsia="方正仿宋_GBK" w:cs="方正仿宋_GBK"/>
          <w:sz w:val="28"/>
          <w:szCs w:val="28"/>
          <w:lang w:eastAsia="zh-CN"/>
        </w:rPr>
        <w:t>（县域派出机构可以本级分局名义办理）</w:t>
      </w:r>
    </w:p>
    <w:p>
      <w:pPr>
        <w:spacing w:line="600" w:lineRule="exact"/>
        <w:ind w:firstLine="562" w:firstLineChars="200"/>
        <w:rPr>
          <w:rFonts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8.</w:t>
      </w:r>
      <w:r>
        <w:rPr>
          <w:rFonts w:ascii="Times New Roman" w:hAnsi="Times New Roman" w:eastAsia="仿宋GB2312"/>
          <w:b/>
          <w:bCs/>
          <w:sz w:val="28"/>
          <w:szCs w:val="28"/>
        </w:rPr>
        <w:t>审批层级</w:t>
      </w:r>
      <w:r>
        <w:rPr>
          <w:rFonts w:hint="eastAsia" w:ascii="Times New Roman" w:hAnsi="Times New Roman" w:eastAsia="仿宋GB2312"/>
          <w:b/>
          <w:bCs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sz w:val="28"/>
          <w:szCs w:val="28"/>
        </w:rPr>
        <w:t>国家级</w:t>
      </w:r>
    </w:p>
    <w:p>
      <w:pPr>
        <w:spacing w:line="600" w:lineRule="exact"/>
        <w:ind w:firstLine="562" w:firstLineChars="200"/>
        <w:rPr>
          <w:rFonts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9.行使</w:t>
      </w:r>
      <w:r>
        <w:rPr>
          <w:rFonts w:ascii="Times New Roman" w:hAnsi="Times New Roman" w:eastAsia="仿宋GB2312"/>
          <w:b/>
          <w:bCs/>
          <w:sz w:val="28"/>
          <w:szCs w:val="28"/>
        </w:rPr>
        <w:t>层级</w:t>
      </w:r>
      <w:r>
        <w:rPr>
          <w:rFonts w:hint="eastAsia" w:ascii="Times New Roman" w:hAnsi="Times New Roman" w:eastAsia="仿宋GB2312"/>
          <w:b/>
          <w:bCs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sz w:val="28"/>
          <w:szCs w:val="28"/>
        </w:rPr>
        <w:t>市级/隶属</w:t>
      </w:r>
    </w:p>
    <w:p>
      <w:pPr>
        <w:spacing w:line="600" w:lineRule="exact"/>
        <w:ind w:firstLine="562" w:firstLineChars="200"/>
        <w:rPr>
          <w:rFonts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10.</w:t>
      </w:r>
      <w:r>
        <w:rPr>
          <w:rFonts w:ascii="Times New Roman" w:hAnsi="Times New Roman" w:eastAsia="仿宋GB2312"/>
          <w:b/>
          <w:bCs/>
          <w:sz w:val="28"/>
          <w:szCs w:val="28"/>
        </w:rPr>
        <w:t>是否由审批机关受理</w:t>
      </w:r>
      <w:r>
        <w:rPr>
          <w:rFonts w:hint="eastAsia" w:ascii="Times New Roman" w:hAnsi="Times New Roman" w:eastAsia="仿宋GB2312"/>
          <w:b/>
          <w:bCs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sz w:val="28"/>
          <w:szCs w:val="28"/>
        </w:rPr>
        <w:t>是</w:t>
      </w:r>
    </w:p>
    <w:p>
      <w:pPr>
        <w:spacing w:line="600" w:lineRule="exact"/>
        <w:ind w:firstLine="562" w:firstLineChars="200"/>
        <w:rPr>
          <w:rFonts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11.</w:t>
      </w:r>
      <w:r>
        <w:rPr>
          <w:rFonts w:ascii="Times New Roman" w:hAnsi="Times New Roman" w:eastAsia="仿宋GB2312"/>
          <w:b/>
          <w:bCs/>
          <w:sz w:val="28"/>
          <w:szCs w:val="28"/>
        </w:rPr>
        <w:t>受理层级</w:t>
      </w:r>
      <w:r>
        <w:rPr>
          <w:rFonts w:hint="eastAsia" w:ascii="Times New Roman" w:hAnsi="Times New Roman" w:eastAsia="仿宋GB2312"/>
          <w:b/>
          <w:bCs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sz w:val="28"/>
          <w:szCs w:val="28"/>
        </w:rPr>
        <w:t>设区的市级</w:t>
      </w:r>
    </w:p>
    <w:p>
      <w:pPr>
        <w:spacing w:line="600" w:lineRule="exact"/>
        <w:ind w:firstLine="562" w:firstLineChars="200"/>
        <w:rPr>
          <w:rFonts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12.</w:t>
      </w:r>
      <w:r>
        <w:rPr>
          <w:rFonts w:ascii="Times New Roman" w:hAnsi="Times New Roman" w:eastAsia="仿宋GB2312"/>
          <w:b/>
          <w:bCs/>
          <w:sz w:val="28"/>
          <w:szCs w:val="28"/>
        </w:rPr>
        <w:t>是否存在初审环节</w:t>
      </w:r>
      <w:r>
        <w:rPr>
          <w:rFonts w:hint="eastAsia" w:ascii="Times New Roman" w:hAnsi="Times New Roman" w:eastAsia="仿宋GB2312"/>
          <w:b/>
          <w:bCs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sz w:val="28"/>
          <w:szCs w:val="28"/>
        </w:rPr>
        <w:t>否</w:t>
      </w:r>
    </w:p>
    <w:p>
      <w:pPr>
        <w:spacing w:line="600" w:lineRule="exact"/>
        <w:ind w:firstLine="562" w:firstLineChars="200"/>
        <w:rPr>
          <w:rFonts w:ascii="Times New Roman" w:hAnsi="Times New Roman" w:eastAsia="仿宋GB2312"/>
          <w:sz w:val="28"/>
          <w:szCs w:val="28"/>
          <w:highlight w:val="yellow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13.</w:t>
      </w:r>
      <w:r>
        <w:rPr>
          <w:rFonts w:ascii="Times New Roman" w:hAnsi="Times New Roman" w:eastAsia="仿宋GB2312"/>
          <w:b/>
          <w:bCs/>
          <w:sz w:val="28"/>
          <w:szCs w:val="28"/>
        </w:rPr>
        <w:t>初审层级</w:t>
      </w:r>
      <w:r>
        <w:rPr>
          <w:rFonts w:hint="eastAsia" w:ascii="Times New Roman" w:hAnsi="Times New Roman" w:eastAsia="仿宋GB2312"/>
          <w:b/>
          <w:bCs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sz w:val="28"/>
          <w:szCs w:val="28"/>
        </w:rPr>
        <w:t>无</w:t>
      </w:r>
    </w:p>
    <w:p>
      <w:pPr>
        <w:spacing w:line="600" w:lineRule="exact"/>
        <w:ind w:firstLine="562" w:firstLineChars="200"/>
        <w:jc w:val="left"/>
        <w:rPr>
          <w:rFonts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14.</w:t>
      </w:r>
      <w:r>
        <w:rPr>
          <w:rFonts w:ascii="Times New Roman" w:hAnsi="Times New Roman" w:eastAsia="仿宋GB2312"/>
          <w:b/>
          <w:bCs/>
          <w:sz w:val="28"/>
          <w:szCs w:val="28"/>
        </w:rPr>
        <w:t>对应政务服务事项国家级基本目录名称</w:t>
      </w:r>
      <w:r>
        <w:rPr>
          <w:rFonts w:hint="eastAsia" w:ascii="Times New Roman" w:hAnsi="Times New Roman" w:eastAsia="仿宋GB2312"/>
          <w:b/>
          <w:bCs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sz w:val="28"/>
          <w:szCs w:val="28"/>
        </w:rPr>
        <w:t>个人提取外币现钞（单笔或当日提取超过累计等值10000美元现钞）</w:t>
      </w:r>
    </w:p>
    <w:p>
      <w:pPr>
        <w:numPr>
          <w:ilvl w:val="0"/>
          <w:numId w:val="1"/>
        </w:numPr>
        <w:spacing w:line="540" w:lineRule="exact"/>
        <w:outlineLvl w:val="1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行政许可事项类型</w:t>
      </w:r>
    </w:p>
    <w:p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条件型</w:t>
      </w:r>
    </w:p>
    <w:p>
      <w:pPr>
        <w:numPr>
          <w:ilvl w:val="0"/>
          <w:numId w:val="1"/>
        </w:numPr>
        <w:spacing w:line="540" w:lineRule="exact"/>
        <w:outlineLvl w:val="1"/>
        <w:rPr>
          <w:rFonts w:hint="eastAsia"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行政许可条件</w:t>
      </w:r>
    </w:p>
    <w:p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1.准予行政许可的条件</w:t>
      </w:r>
    </w:p>
    <w:p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申请人为出境赴战乱、外汇管制严格、金融条件差或金融动乱的国家（或地区）的个人。</w:t>
      </w:r>
    </w:p>
    <w:p>
      <w:pPr>
        <w:spacing w:line="540" w:lineRule="exact"/>
        <w:ind w:firstLine="562" w:firstLineChars="200"/>
        <w:outlineLvl w:val="2"/>
        <w:rPr>
          <w:rFonts w:ascii="Times New Roman" w:hAnsi="Times New Roman" w:eastAsia="仿宋GB2312"/>
          <w:b/>
          <w:bCs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2.</w:t>
      </w:r>
      <w:r>
        <w:rPr>
          <w:rFonts w:ascii="Times New Roman" w:hAnsi="Times New Roman" w:eastAsia="仿宋GB2312"/>
          <w:b/>
          <w:bCs/>
          <w:sz w:val="28"/>
          <w:szCs w:val="28"/>
        </w:rPr>
        <w:t>规定行政许可条件的依据</w:t>
      </w:r>
    </w:p>
    <w:p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《经常项目外汇业务指引（2020年版）》（汇发〔2020〕14号文印发）第八十六条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</w:t>
      </w:r>
      <w:r>
        <w:rPr>
          <w:rFonts w:ascii="方正仿宋_GBK" w:hAnsi="方正仿宋_GBK" w:eastAsia="方正仿宋_GBK" w:cs="方正仿宋_GBK"/>
          <w:sz w:val="28"/>
          <w:szCs w:val="28"/>
        </w:rPr>
        <w:t>个人提取外币现钞当日累计等值1万美元以下（含）的，凭本人有效身份证件在银行办理；个人出境赴战乱、外汇管制严格、金融条件差或金融动乱的国家（地区），确有需要提取超过等值1万美元以上外币现钞的，凭本人有效身份证件、提钞用途等材料向银行所在地外汇局事前报备。银行凭本人有效身份证件和经外汇局签章的《提取外币现钞备案表》为个人办理提取外币现钞手续。外汇局开具的《提取外币现钞备案表》自签发之日起30天内有效，不可重复使用。</w:t>
      </w:r>
    </w:p>
    <w:p>
      <w:pPr>
        <w:numPr>
          <w:ilvl w:val="0"/>
          <w:numId w:val="1"/>
        </w:numPr>
        <w:spacing w:line="540" w:lineRule="exact"/>
        <w:outlineLvl w:val="1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行政许可服务对象类型</w:t>
      </w:r>
      <w:r>
        <w:rPr>
          <w:rFonts w:hint="eastAsia" w:ascii="Times New Roman" w:hAnsi="Times New Roman" w:eastAsia="黑体"/>
          <w:sz w:val="28"/>
          <w:szCs w:val="28"/>
        </w:rPr>
        <w:t>与改革举措</w:t>
      </w:r>
    </w:p>
    <w:p>
      <w:pPr>
        <w:spacing w:line="600" w:lineRule="exact"/>
        <w:ind w:firstLine="562" w:firstLineChars="200"/>
        <w:rPr>
          <w:rFonts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1.服务对象类型：</w:t>
      </w:r>
      <w:r>
        <w:rPr>
          <w:rFonts w:ascii="方正仿宋_GBK" w:hAnsi="方正仿宋_GBK" w:eastAsia="方正仿宋_GBK" w:cs="方正仿宋_GBK"/>
          <w:sz w:val="28"/>
          <w:szCs w:val="28"/>
        </w:rPr>
        <w:t>自然人</w:t>
      </w:r>
    </w:p>
    <w:p>
      <w:pPr>
        <w:spacing w:line="600" w:lineRule="exact"/>
        <w:ind w:firstLine="562" w:firstLineChars="200"/>
        <w:rPr>
          <w:rFonts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2.是否为涉企许可事项：</w:t>
      </w:r>
      <w:r>
        <w:rPr>
          <w:rFonts w:ascii="方正仿宋_GBK" w:hAnsi="方正仿宋_GBK" w:eastAsia="方正仿宋_GBK" w:cs="方正仿宋_GBK"/>
          <w:sz w:val="28"/>
          <w:szCs w:val="28"/>
        </w:rPr>
        <w:t>否</w:t>
      </w:r>
    </w:p>
    <w:p>
      <w:pPr>
        <w:spacing w:line="600" w:lineRule="exact"/>
        <w:ind w:firstLine="562" w:firstLineChars="200"/>
        <w:rPr>
          <w:rFonts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3.涉企经营许可事项名称：</w:t>
      </w:r>
      <w:r>
        <w:rPr>
          <w:rFonts w:ascii="方正仿宋_GBK" w:hAnsi="方正仿宋_GBK" w:eastAsia="方正仿宋_GBK" w:cs="方正仿宋_GBK"/>
          <w:sz w:val="28"/>
          <w:szCs w:val="28"/>
        </w:rPr>
        <w:t>无</w:t>
      </w:r>
    </w:p>
    <w:p>
      <w:pPr>
        <w:spacing w:line="600" w:lineRule="exact"/>
        <w:ind w:firstLine="562" w:firstLineChars="200"/>
        <w:rPr>
          <w:rFonts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4.许可证件名称：</w:t>
      </w:r>
      <w:r>
        <w:rPr>
          <w:rFonts w:ascii="方正仿宋_GBK" w:hAnsi="方正仿宋_GBK" w:eastAsia="方正仿宋_GBK" w:cs="方正仿宋_GBK"/>
          <w:sz w:val="28"/>
          <w:szCs w:val="28"/>
        </w:rPr>
        <w:t>无</w:t>
      </w:r>
    </w:p>
    <w:p>
      <w:pPr>
        <w:spacing w:line="600" w:lineRule="exact"/>
        <w:ind w:firstLine="562" w:firstLineChars="200"/>
        <w:rPr>
          <w:rFonts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5.改革方式：</w:t>
      </w:r>
      <w:r>
        <w:rPr>
          <w:rFonts w:ascii="方正仿宋_GBK" w:hAnsi="方正仿宋_GBK" w:eastAsia="方正仿宋_GBK" w:cs="方正仿宋_GBK"/>
          <w:sz w:val="28"/>
          <w:szCs w:val="28"/>
        </w:rPr>
        <w:t>无</w:t>
      </w:r>
    </w:p>
    <w:p>
      <w:pPr>
        <w:spacing w:line="540" w:lineRule="exact"/>
        <w:ind w:firstLine="562" w:firstLineChars="200"/>
        <w:rPr>
          <w:rFonts w:ascii="Times New Roman" w:hAnsi="Times New Roman" w:eastAsia="仿宋GB2312"/>
          <w:b/>
          <w:bCs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6.具体改革举措：</w:t>
      </w:r>
      <w:r>
        <w:rPr>
          <w:rFonts w:ascii="方正仿宋_GBK" w:hAnsi="方正仿宋_GBK" w:eastAsia="方正仿宋_GBK" w:cs="方正仿宋_GBK"/>
          <w:sz w:val="28"/>
          <w:szCs w:val="28"/>
        </w:rPr>
        <w:t>无</w:t>
      </w:r>
    </w:p>
    <w:p>
      <w:pPr>
        <w:spacing w:line="540" w:lineRule="exact"/>
        <w:ind w:firstLine="562" w:firstLineChars="200"/>
        <w:rPr>
          <w:rFonts w:hint="eastAsia" w:ascii="Times New Roman" w:hAnsi="Times New Roman" w:eastAsia="仿宋GB2312"/>
          <w:b/>
          <w:bCs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7.加强事中事后监管措施</w:t>
      </w:r>
    </w:p>
    <w:p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（1）开展“双随机、一公开”监管，依法查处违规行为，适时公开相关案例。（2）依法及时处理投诉举报。（3）开展数据统计与监测，掌握外汇业务情况。</w:t>
      </w:r>
    </w:p>
    <w:p>
      <w:pPr>
        <w:numPr>
          <w:ilvl w:val="0"/>
          <w:numId w:val="1"/>
        </w:numPr>
        <w:spacing w:line="540" w:lineRule="exact"/>
        <w:outlineLvl w:val="1"/>
        <w:rPr>
          <w:rFonts w:hint="eastAsia"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申请材料</w:t>
      </w:r>
    </w:p>
    <w:p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1.申请材料名称</w:t>
      </w:r>
    </w:p>
    <w:p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本人有效身份证件原件或加盖签章的复印件1份。</w:t>
      </w:r>
    </w:p>
    <w:p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加盖签章的提钞用途材料复印件1份（其中,申请书需为原件）。</w:t>
      </w:r>
    </w:p>
    <w:p>
      <w:pPr>
        <w:spacing w:line="540" w:lineRule="exact"/>
        <w:ind w:firstLine="562" w:firstLineChars="200"/>
        <w:outlineLvl w:val="2"/>
        <w:rPr>
          <w:rFonts w:ascii="Times New Roman" w:hAnsi="Times New Roman" w:eastAsia="仿宋GB2312"/>
          <w:b/>
          <w:bCs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2.</w:t>
      </w:r>
      <w:r>
        <w:rPr>
          <w:rFonts w:ascii="Times New Roman" w:hAnsi="Times New Roman" w:eastAsia="仿宋GB2312"/>
          <w:b/>
          <w:bCs/>
          <w:sz w:val="28"/>
          <w:szCs w:val="28"/>
        </w:rPr>
        <w:t>规定申请材料的依据</w:t>
      </w:r>
    </w:p>
    <w:p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（1）《个人外汇管理办法》（中国人民银行令2006年第3号）第三十四条 个人购汇提钞或从外汇储蓄账户中提钞，单笔或当日累计在有关规定允许携带外币现钞出境金额之下的，可以在银行直接办理；单笔或当日累计提钞超过上述金额的，凭本人有效身份证件、提钞用途证明等材料向当地外汇局事前报备。</w:t>
      </w:r>
    </w:p>
    <w:p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（2）《个人外汇管理办法实施细则》（汇发〔2007〕1号文印发）第三十条 个人提取外币现钞当日累计等值1万美元以下（含）的，可以在银行直接办理；超过上述金额的，凭本人有效身份证件、提钞用途证明等材料向银行所在地外汇局事前报备。银行凭本人有效身份证件和经外汇局签章的《提取外币现钞备案表》为个人办理提取外币现钞手续。</w:t>
      </w:r>
    </w:p>
    <w:p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（3）《经常项目外汇业务指引（2020年版）》（汇发〔2020〕14号文印发）第八十六条 个人提取外币现钞当日累计等值1万美元以下（含）的，凭本人有效身份证件在银行办理；个人出境赴战乱、外汇管制严格、金融条件差或金融动乱的国家（地区），确有需要提取超过等值1万美元以上外币现钞的，凭本人有效身份证件、提钞用途等材料向银行所在地外汇局事前报备。银行凭本人有效身份证件和经外汇局签章的《提取外币现钞备案表》为个人办理提取外币现钞手续。外汇局开具的《提取外币现钞备案表》自签发之日起30天内有效，不可重复使用。</w:t>
      </w:r>
    </w:p>
    <w:p>
      <w:pPr>
        <w:numPr>
          <w:ilvl w:val="0"/>
          <w:numId w:val="1"/>
        </w:numPr>
        <w:spacing w:line="540" w:lineRule="exact"/>
        <w:outlineLvl w:val="1"/>
        <w:rPr>
          <w:rFonts w:hint="eastAsia"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中介服务</w:t>
      </w:r>
    </w:p>
    <w:p>
      <w:pPr>
        <w:spacing w:line="600" w:lineRule="exact"/>
        <w:ind w:firstLine="562" w:firstLineChars="200"/>
        <w:rPr>
          <w:rFonts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1.有无法定中介服务事项：</w:t>
      </w:r>
      <w:r>
        <w:rPr>
          <w:rFonts w:ascii="方正仿宋_GBK" w:hAnsi="方正仿宋_GBK" w:eastAsia="方正仿宋_GBK" w:cs="方正仿宋_GBK"/>
          <w:sz w:val="28"/>
          <w:szCs w:val="28"/>
        </w:rPr>
        <w:t>无</w:t>
      </w:r>
    </w:p>
    <w:p>
      <w:pPr>
        <w:spacing w:line="600" w:lineRule="exact"/>
        <w:ind w:firstLine="562" w:firstLineChars="20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2.</w:t>
      </w:r>
      <w:r>
        <w:rPr>
          <w:rFonts w:ascii="Times New Roman" w:hAnsi="Times New Roman" w:eastAsia="仿宋GB2312"/>
          <w:b/>
          <w:bCs/>
          <w:sz w:val="28"/>
          <w:szCs w:val="28"/>
        </w:rPr>
        <w:t>中介服务事项名称</w:t>
      </w:r>
      <w:r>
        <w:rPr>
          <w:rFonts w:hint="eastAsia" w:ascii="Times New Roman" w:hAnsi="Times New Roman" w:eastAsia="仿宋GB2312"/>
          <w:b/>
          <w:bCs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sz w:val="28"/>
          <w:szCs w:val="28"/>
        </w:rPr>
        <w:t>无</w:t>
      </w:r>
    </w:p>
    <w:p>
      <w:pPr>
        <w:spacing w:line="600" w:lineRule="exact"/>
        <w:ind w:firstLine="562" w:firstLineChars="200"/>
        <w:rPr>
          <w:rFonts w:ascii="Times New Roman" w:hAnsi="Times New Roman" w:eastAsia="仿宋GB2312"/>
          <w:b/>
          <w:bCs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3.</w:t>
      </w:r>
      <w:r>
        <w:rPr>
          <w:rFonts w:ascii="Times New Roman" w:hAnsi="Times New Roman" w:eastAsia="仿宋GB2312"/>
          <w:b/>
          <w:bCs/>
          <w:sz w:val="28"/>
          <w:szCs w:val="28"/>
        </w:rPr>
        <w:t>设定中介服务事项的依据</w:t>
      </w:r>
      <w:r>
        <w:rPr>
          <w:rFonts w:hint="eastAsia" w:ascii="Times New Roman" w:hAnsi="Times New Roman" w:eastAsia="仿宋GB2312"/>
          <w:b/>
          <w:bCs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sz w:val="28"/>
          <w:szCs w:val="28"/>
        </w:rPr>
        <w:t>无</w:t>
      </w:r>
    </w:p>
    <w:p>
      <w:pPr>
        <w:spacing w:line="600" w:lineRule="exact"/>
        <w:ind w:firstLine="562" w:firstLineChars="200"/>
        <w:rPr>
          <w:rFonts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4.</w:t>
      </w:r>
      <w:r>
        <w:rPr>
          <w:rFonts w:ascii="Times New Roman" w:hAnsi="Times New Roman" w:eastAsia="仿宋GB2312"/>
          <w:b/>
          <w:bCs/>
          <w:sz w:val="28"/>
          <w:szCs w:val="28"/>
        </w:rPr>
        <w:t>提供中介服务的机构</w:t>
      </w:r>
      <w:r>
        <w:rPr>
          <w:rFonts w:hint="eastAsia" w:ascii="Times New Roman" w:hAnsi="Times New Roman" w:eastAsia="仿宋GB2312"/>
          <w:b/>
          <w:bCs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sz w:val="28"/>
          <w:szCs w:val="28"/>
        </w:rPr>
        <w:t>无</w:t>
      </w:r>
    </w:p>
    <w:p>
      <w:pPr>
        <w:spacing w:line="600" w:lineRule="exact"/>
        <w:ind w:firstLine="562" w:firstLineChars="200"/>
        <w:rPr>
          <w:rFonts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5.</w:t>
      </w:r>
      <w:r>
        <w:rPr>
          <w:rFonts w:ascii="Times New Roman" w:hAnsi="Times New Roman" w:eastAsia="仿宋GB2312"/>
          <w:b/>
          <w:bCs/>
          <w:sz w:val="28"/>
          <w:szCs w:val="28"/>
        </w:rPr>
        <w:t>中介服务事项的收费性质</w:t>
      </w:r>
      <w:r>
        <w:rPr>
          <w:rFonts w:hint="eastAsia" w:ascii="Times New Roman" w:hAnsi="Times New Roman" w:eastAsia="仿宋GB2312"/>
          <w:b/>
          <w:bCs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sz w:val="28"/>
          <w:szCs w:val="28"/>
        </w:rPr>
        <w:t>无</w:t>
      </w:r>
    </w:p>
    <w:p>
      <w:pPr>
        <w:numPr>
          <w:ilvl w:val="0"/>
          <w:numId w:val="1"/>
        </w:numPr>
        <w:spacing w:line="540" w:lineRule="exact"/>
        <w:outlineLvl w:val="1"/>
        <w:rPr>
          <w:rFonts w:hint="eastAsia"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审批程序</w:t>
      </w:r>
    </w:p>
    <w:p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1.办理行政许可的程序环节</w:t>
      </w:r>
    </w:p>
    <w:p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1.申请人申请；</w:t>
      </w:r>
    </w:p>
    <w:p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2.审批机构受理/不予受理；</w:t>
      </w:r>
    </w:p>
    <w:p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3.审批机构审查；</w:t>
      </w:r>
    </w:p>
    <w:p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4.决定作出许可决定书/不予许可决定书</w:t>
      </w:r>
    </w:p>
    <w:p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2.规定行政许可程序的依据</w:t>
      </w:r>
    </w:p>
    <w:p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《国家外汇管理局行政许可实施办法》（国家外汇管理局公告2021年第1号）第十条、第十四条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br w:type="textWrapping"/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 </w:t>
      </w:r>
      <w:r>
        <w:rPr>
          <w:rFonts w:ascii="方正仿宋_GBK" w:hAnsi="方正仿宋_GBK" w:eastAsia="方正仿宋_GBK" w:cs="方正仿宋_GBK"/>
          <w:sz w:val="28"/>
          <w:szCs w:val="28"/>
        </w:rPr>
        <w:t>第十条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</w:t>
      </w:r>
      <w:r>
        <w:rPr>
          <w:rFonts w:ascii="方正仿宋_GBK" w:hAnsi="方正仿宋_GBK" w:eastAsia="方正仿宋_GBK" w:cs="方正仿宋_GBK"/>
          <w:sz w:val="28"/>
          <w:szCs w:val="28"/>
        </w:rPr>
        <w:t>外汇局收到行政许可申请后，应区分下列情况分别作出处理：</w:t>
      </w:r>
    </w:p>
    <w:p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1.申请事项属于本局职责范围，但依法不需要取得行政许可的，应即时告知申请人不受理，出具不予受理行政许可通知书；</w:t>
      </w:r>
    </w:p>
    <w:p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2.申请事项不属于本局职责范围，应即时作出不予受理的决定，出具不予受理行政许可通知书，并告知申请人向有关行政机关申请；</w:t>
      </w:r>
    </w:p>
    <w:p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3.申请事项属于本局职责范围，但申请材料不齐全或不符合法定形式的，应当场或在收到申请材料之日起5个工作日内作出要求申请人补正材料的决定，出具补正告知书，一次性告知申请人需要补正的全部内容；逾期不告知的，自收到申请材料之日起即为受理；</w:t>
      </w:r>
    </w:p>
    <w:p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申请人拒不补正，或者自补正告知书送达之日起30日内未能提交全部且符合法定形式的补正材料的，应不予受理，出具不予受理行政许可通知书；</w:t>
      </w:r>
    </w:p>
    <w:p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申请材料存在文字笔误等可当场更正的错误的，应允许申请人当场更正，并告知其在修改处签字或盖章确认；</w:t>
      </w:r>
    </w:p>
    <w:p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4.申请事项属于本局职责范围，申请材料齐全、符合法定形式，或者申请人按照要求提交全部补正申请材料的，应受理行政许可申请，出具行政许可受理通知书。</w:t>
      </w:r>
    </w:p>
    <w:p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第十四条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</w:t>
      </w:r>
      <w:r>
        <w:rPr>
          <w:rFonts w:ascii="方正仿宋_GBK" w:hAnsi="方正仿宋_GBK" w:eastAsia="方正仿宋_GBK" w:cs="方正仿宋_GBK"/>
          <w:sz w:val="28"/>
          <w:szCs w:val="28"/>
        </w:rPr>
        <w:t>外汇局对行政许可申请审查后，应区分下列情况分别作出处理：</w:t>
      </w:r>
    </w:p>
    <w:p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1.申请符合法定条件、拟准予行政许可的，应出具准予行政许可的书面决定。准予行政许可的书面决定应载明名称、出具单位、被许可人姓名或名称、行政许可事项、颁发日期、有效期（如有）等；</w:t>
      </w:r>
    </w:p>
    <w:p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2.申请不符合法定条件、拟不予行政许可的，应出具不予行政许可决定书，并说明不予行政许可的理由，告知申请人享有依法申请行政复议的权利。</w:t>
      </w:r>
    </w:p>
    <w:p>
      <w:pPr>
        <w:spacing w:line="600" w:lineRule="exact"/>
        <w:ind w:firstLine="562" w:firstLineChars="200"/>
        <w:rPr>
          <w:rFonts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3.</w:t>
      </w:r>
      <w:r>
        <w:rPr>
          <w:rFonts w:ascii="Times New Roman" w:hAnsi="Times New Roman" w:eastAsia="仿宋GB2312"/>
          <w:b/>
          <w:bCs/>
          <w:sz w:val="28"/>
          <w:szCs w:val="28"/>
        </w:rPr>
        <w:t>是否需要现场勘验</w:t>
      </w:r>
      <w:r>
        <w:rPr>
          <w:rFonts w:hint="eastAsia" w:ascii="Times New Roman" w:hAnsi="Times New Roman" w:eastAsia="仿宋GB2312"/>
          <w:b/>
          <w:bCs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sz w:val="28"/>
          <w:szCs w:val="28"/>
        </w:rPr>
        <w:t>否</w:t>
      </w:r>
    </w:p>
    <w:p>
      <w:pPr>
        <w:spacing w:line="600" w:lineRule="exact"/>
        <w:ind w:firstLine="562" w:firstLineChars="200"/>
        <w:rPr>
          <w:rFonts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4.</w:t>
      </w:r>
      <w:r>
        <w:rPr>
          <w:rFonts w:ascii="Times New Roman" w:hAnsi="Times New Roman" w:eastAsia="仿宋GB2312"/>
          <w:b/>
          <w:bCs/>
          <w:sz w:val="28"/>
          <w:szCs w:val="28"/>
        </w:rPr>
        <w:t>是否需要组织听证</w:t>
      </w:r>
      <w:r>
        <w:rPr>
          <w:rFonts w:hint="eastAsia" w:ascii="Times New Roman" w:hAnsi="Times New Roman" w:eastAsia="仿宋GB2312"/>
          <w:b/>
          <w:bCs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sz w:val="28"/>
          <w:szCs w:val="28"/>
        </w:rPr>
        <w:t>否</w:t>
      </w:r>
    </w:p>
    <w:p>
      <w:pPr>
        <w:spacing w:line="600" w:lineRule="exact"/>
        <w:ind w:firstLine="562" w:firstLineChars="200"/>
        <w:rPr>
          <w:rFonts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5.</w:t>
      </w:r>
      <w:r>
        <w:rPr>
          <w:rFonts w:ascii="Times New Roman" w:hAnsi="Times New Roman" w:eastAsia="仿宋GB2312"/>
          <w:b/>
          <w:bCs/>
          <w:sz w:val="28"/>
          <w:szCs w:val="28"/>
        </w:rPr>
        <w:t>是否需要招标、拍卖、挂牌交易</w:t>
      </w:r>
      <w:r>
        <w:rPr>
          <w:rFonts w:hint="eastAsia" w:ascii="Times New Roman" w:hAnsi="Times New Roman" w:eastAsia="仿宋GB2312"/>
          <w:b/>
          <w:bCs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sz w:val="28"/>
          <w:szCs w:val="28"/>
        </w:rPr>
        <w:t>否</w:t>
      </w:r>
    </w:p>
    <w:p>
      <w:pPr>
        <w:spacing w:line="600" w:lineRule="exact"/>
        <w:ind w:firstLine="562" w:firstLineChars="200"/>
        <w:rPr>
          <w:rFonts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6.</w:t>
      </w:r>
      <w:r>
        <w:rPr>
          <w:rFonts w:ascii="Times New Roman" w:hAnsi="Times New Roman" w:eastAsia="仿宋GB2312"/>
          <w:b/>
          <w:bCs/>
          <w:sz w:val="28"/>
          <w:szCs w:val="28"/>
        </w:rPr>
        <w:t>是否需要检验、检测、检疫</w:t>
      </w:r>
      <w:r>
        <w:rPr>
          <w:rFonts w:hint="eastAsia" w:ascii="Times New Roman" w:hAnsi="Times New Roman" w:eastAsia="仿宋GB2312"/>
          <w:b/>
          <w:bCs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sz w:val="28"/>
          <w:szCs w:val="28"/>
        </w:rPr>
        <w:t>否</w:t>
      </w:r>
    </w:p>
    <w:p>
      <w:pPr>
        <w:spacing w:line="600" w:lineRule="exact"/>
        <w:ind w:firstLine="562" w:firstLineChars="200"/>
        <w:rPr>
          <w:rFonts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7.</w:t>
      </w:r>
      <w:r>
        <w:rPr>
          <w:rFonts w:ascii="Times New Roman" w:hAnsi="Times New Roman" w:eastAsia="仿宋GB2312"/>
          <w:b/>
          <w:bCs/>
          <w:sz w:val="28"/>
          <w:szCs w:val="28"/>
        </w:rPr>
        <w:t>是否需要鉴定</w:t>
      </w:r>
      <w:r>
        <w:rPr>
          <w:rFonts w:hint="eastAsia" w:ascii="Times New Roman" w:hAnsi="Times New Roman" w:eastAsia="仿宋GB2312"/>
          <w:b/>
          <w:bCs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sz w:val="28"/>
          <w:szCs w:val="28"/>
        </w:rPr>
        <w:t>否</w:t>
      </w:r>
    </w:p>
    <w:p>
      <w:pPr>
        <w:spacing w:line="600" w:lineRule="exact"/>
        <w:ind w:firstLine="562" w:firstLineChars="200"/>
        <w:rPr>
          <w:rFonts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8.</w:t>
      </w:r>
      <w:r>
        <w:rPr>
          <w:rFonts w:ascii="Times New Roman" w:hAnsi="Times New Roman" w:eastAsia="仿宋GB2312"/>
          <w:b/>
          <w:bCs/>
          <w:sz w:val="28"/>
          <w:szCs w:val="28"/>
        </w:rPr>
        <w:t>是否需要专家评审</w:t>
      </w:r>
      <w:r>
        <w:rPr>
          <w:rFonts w:hint="eastAsia" w:ascii="Times New Roman" w:hAnsi="Times New Roman" w:eastAsia="仿宋GB2312"/>
          <w:b/>
          <w:bCs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sz w:val="28"/>
          <w:szCs w:val="28"/>
        </w:rPr>
        <w:t>否</w:t>
      </w:r>
    </w:p>
    <w:p>
      <w:pPr>
        <w:spacing w:line="600" w:lineRule="exact"/>
        <w:ind w:firstLine="562" w:firstLineChars="200"/>
        <w:rPr>
          <w:rFonts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9.</w:t>
      </w:r>
      <w:r>
        <w:rPr>
          <w:rFonts w:ascii="Times New Roman" w:hAnsi="Times New Roman" w:eastAsia="仿宋GB2312"/>
          <w:b/>
          <w:bCs/>
          <w:sz w:val="28"/>
          <w:szCs w:val="28"/>
        </w:rPr>
        <w:t>是否需要向社会公示</w:t>
      </w:r>
      <w:r>
        <w:rPr>
          <w:rFonts w:hint="eastAsia" w:ascii="Times New Roman" w:hAnsi="Times New Roman" w:eastAsia="仿宋GB2312"/>
          <w:b/>
          <w:bCs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sz w:val="28"/>
          <w:szCs w:val="28"/>
        </w:rPr>
        <w:t>否</w:t>
      </w:r>
    </w:p>
    <w:p>
      <w:pPr>
        <w:spacing w:line="600" w:lineRule="exact"/>
        <w:ind w:firstLine="562" w:firstLineChars="200"/>
        <w:rPr>
          <w:rFonts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10.</w:t>
      </w:r>
      <w:r>
        <w:rPr>
          <w:rFonts w:ascii="Times New Roman" w:hAnsi="Times New Roman" w:eastAsia="仿宋GB2312"/>
          <w:b/>
          <w:bCs/>
          <w:sz w:val="28"/>
          <w:szCs w:val="28"/>
        </w:rPr>
        <w:t>是否实行告知承诺办理</w:t>
      </w:r>
      <w:r>
        <w:rPr>
          <w:rFonts w:hint="eastAsia" w:ascii="Times New Roman" w:hAnsi="Times New Roman" w:eastAsia="仿宋GB2312"/>
          <w:b/>
          <w:bCs/>
          <w:sz w:val="28"/>
          <w:szCs w:val="28"/>
        </w:rPr>
        <w:t>：</w:t>
      </w:r>
      <w:r>
        <w:rPr>
          <w:rFonts w:ascii="方正仿宋_GBK" w:hAnsi="方正仿宋_GBK" w:eastAsia="方正仿宋_GBK" w:cs="方正仿宋_GBK"/>
          <w:sz w:val="28"/>
          <w:szCs w:val="28"/>
        </w:rPr>
        <w:t>否</w:t>
      </w:r>
    </w:p>
    <w:p>
      <w:pPr>
        <w:spacing w:line="600" w:lineRule="exact"/>
        <w:ind w:firstLine="562" w:firstLineChars="200"/>
        <w:rPr>
          <w:rFonts w:ascii="Times New Roman" w:hAnsi="Times New Roman" w:eastAsia="仿宋GB2312"/>
          <w:b/>
          <w:bCs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11.审批机关是否委托服务机构开展技术性服务：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否</w:t>
      </w:r>
    </w:p>
    <w:p>
      <w:pPr>
        <w:numPr>
          <w:ilvl w:val="0"/>
          <w:numId w:val="1"/>
        </w:numPr>
        <w:spacing w:line="540" w:lineRule="exact"/>
        <w:outlineLvl w:val="1"/>
        <w:rPr>
          <w:rFonts w:hint="eastAsia"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受理和审批时限</w:t>
      </w:r>
    </w:p>
    <w:p>
      <w:pPr>
        <w:spacing w:line="600" w:lineRule="exact"/>
        <w:ind w:firstLine="562" w:firstLineChars="200"/>
        <w:rPr>
          <w:rFonts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1.承诺受理时限：</w:t>
      </w:r>
      <w:r>
        <w:rPr>
          <w:rFonts w:ascii="方正仿宋_GBK" w:hAnsi="方正仿宋_GBK" w:eastAsia="方正仿宋_GBK" w:cs="方正仿宋_GBK"/>
          <w:sz w:val="28"/>
          <w:szCs w:val="28"/>
        </w:rPr>
        <w:t>5个工作日</w:t>
      </w:r>
    </w:p>
    <w:p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2.法定审批时限：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20个工作日</w:t>
      </w:r>
    </w:p>
    <w:p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3.规定法定审批时限依据</w:t>
      </w:r>
    </w:p>
    <w:p>
      <w:pPr>
        <w:spacing w:line="600" w:lineRule="exact"/>
        <w:ind w:firstLine="560" w:firstLineChars="200"/>
        <w:rPr>
          <w:rFonts w:ascii="Times New Roman" w:hAnsi="Times New Roman" w:eastAsia="仿宋GB2312"/>
          <w:sz w:val="32"/>
          <w:szCs w:val="32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《国家外汇管理局行政许可实施办法》（国家外汇管理局公告2021年第1号）第十五条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</w:t>
      </w:r>
      <w:r>
        <w:rPr>
          <w:rFonts w:ascii="方正仿宋_GBK" w:hAnsi="方正仿宋_GBK" w:eastAsia="方正仿宋_GBK" w:cs="方正仿宋_GBK"/>
          <w:sz w:val="28"/>
          <w:szCs w:val="28"/>
        </w:rPr>
        <w:t>外汇局应根据以下要求确保行政许可依法按时完成：</w:t>
      </w:r>
    </w:p>
    <w:p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1.能当场作出决定的，应当场作出行政许可决定。当场作出行政许可决定的，可不出具行政许可受理通知书；</w:t>
      </w:r>
    </w:p>
    <w:p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2.不能当场作出决定的，应自受理之日起20个工作日内作出决定；20个工作日内不能作出决定的，经本级外汇局局长或者主管副局长批准，可延长10个工作日，并向申请人出具延长行政许可办理期限通知书，说明延长期限的理由。行政许可办理期限只能延长一次。</w:t>
      </w:r>
    </w:p>
    <w:p>
      <w:pPr>
        <w:spacing w:line="600" w:lineRule="exact"/>
        <w:ind w:firstLine="560" w:firstLineChars="200"/>
        <w:rPr>
          <w:rFonts w:ascii="方正仿宋_GBK" w:hAnsi="方正仿宋_GBK" w:eastAsia="方正仿宋_GBK" w:cs="方正仿宋_GBK"/>
          <w:sz w:val="28"/>
          <w:szCs w:val="28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外汇局征求其他部门意见的时间计算在以上办理时限内；依法需要听证、检验、检测、鉴定、专家评审等的时间，不计算在上述办理时限内。</w:t>
      </w:r>
    </w:p>
    <w:p>
      <w:pPr>
        <w:spacing w:line="600" w:lineRule="exact"/>
        <w:ind w:firstLine="560" w:firstLineChars="200"/>
        <w:rPr>
          <w:rFonts w:ascii="Times New Roman" w:hAnsi="Times New Roman" w:eastAsia="仿宋GB2312"/>
          <w:sz w:val="32"/>
          <w:szCs w:val="32"/>
        </w:rPr>
      </w:pPr>
      <w:r>
        <w:rPr>
          <w:rFonts w:ascii="方正仿宋_GBK" w:hAnsi="方正仿宋_GBK" w:eastAsia="方正仿宋_GBK" w:cs="方正仿宋_GBK"/>
          <w:sz w:val="28"/>
          <w:szCs w:val="28"/>
        </w:rPr>
        <w:t>各级外汇局对行政许可办理时限具有对外承诺的，应按照其承诺的时限完成；对外承诺的时限应短于20个工作日。</w:t>
      </w:r>
    </w:p>
    <w:p>
      <w:pPr>
        <w:spacing w:line="600" w:lineRule="exact"/>
        <w:ind w:firstLine="562" w:firstLineChars="200"/>
        <w:rPr>
          <w:rFonts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4.承诺审批时限：</w:t>
      </w:r>
      <w:r>
        <w:rPr>
          <w:rFonts w:ascii="方正仿宋_GBK" w:hAnsi="方正仿宋_GBK" w:eastAsia="方正仿宋_GBK" w:cs="方正仿宋_GBK"/>
          <w:sz w:val="28"/>
          <w:szCs w:val="28"/>
        </w:rPr>
        <w:t>20个工作日</w:t>
      </w:r>
    </w:p>
    <w:p>
      <w:pPr>
        <w:numPr>
          <w:ilvl w:val="0"/>
          <w:numId w:val="1"/>
        </w:numPr>
        <w:spacing w:line="540" w:lineRule="exact"/>
        <w:outlineLvl w:val="1"/>
        <w:rPr>
          <w:rFonts w:hint="eastAsia"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收费</w:t>
      </w:r>
    </w:p>
    <w:p>
      <w:pPr>
        <w:spacing w:line="600" w:lineRule="exact"/>
        <w:ind w:firstLine="562" w:firstLineChars="200"/>
        <w:rPr>
          <w:rFonts w:hint="eastAsia"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1.办理行政许可是否收费：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否</w:t>
      </w:r>
    </w:p>
    <w:p>
      <w:pPr>
        <w:spacing w:line="540" w:lineRule="exact"/>
        <w:ind w:firstLine="562" w:firstLineChars="200"/>
        <w:outlineLvl w:val="2"/>
        <w:rPr>
          <w:rFonts w:ascii="Times New Roman" w:hAnsi="Times New Roman" w:eastAsia="仿宋GB2312"/>
          <w:b/>
          <w:bCs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2.收费项目的名称、收费项目的标准、设定收费项目的依据、规定收费标准的依据：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无</w:t>
      </w:r>
    </w:p>
    <w:p>
      <w:pPr>
        <w:numPr>
          <w:ilvl w:val="0"/>
          <w:numId w:val="1"/>
        </w:numPr>
        <w:spacing w:line="540" w:lineRule="exact"/>
        <w:outlineLvl w:val="1"/>
        <w:rPr>
          <w:rFonts w:hint="eastAsia"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行政许可证件</w:t>
      </w:r>
    </w:p>
    <w:p>
      <w:pPr>
        <w:spacing w:line="540" w:lineRule="exact"/>
        <w:ind w:firstLine="562" w:firstLineChars="200"/>
        <w:outlineLvl w:val="2"/>
        <w:rPr>
          <w:rFonts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1.审批结果类型：</w:t>
      </w:r>
      <w:r>
        <w:rPr>
          <w:rFonts w:ascii="方正仿宋_GBK" w:hAnsi="方正仿宋_GBK" w:eastAsia="方正仿宋_GBK" w:cs="方正仿宋_GBK"/>
          <w:sz w:val="28"/>
          <w:szCs w:val="28"/>
        </w:rPr>
        <w:t>批文</w:t>
      </w:r>
    </w:p>
    <w:p>
      <w:pPr>
        <w:spacing w:line="600" w:lineRule="exact"/>
        <w:ind w:firstLine="562" w:firstLineChars="200"/>
        <w:rPr>
          <w:rFonts w:hint="eastAsia"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2.审批结果名称：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《提取外币现钞备案表》</w:t>
      </w:r>
    </w:p>
    <w:p>
      <w:pPr>
        <w:spacing w:line="600" w:lineRule="exact"/>
        <w:ind w:firstLine="562" w:firstLineChars="200"/>
        <w:rPr>
          <w:rFonts w:hint="eastAsia"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3.审批结果的有效期限：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30天</w:t>
      </w:r>
    </w:p>
    <w:p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4.规定审批结果有效期限的依据</w:t>
      </w:r>
    </w:p>
    <w:p>
      <w:pPr>
        <w:spacing w:line="600" w:lineRule="exact"/>
        <w:ind w:firstLine="560" w:firstLineChars="200"/>
        <w:rPr>
          <w:rFonts w:hint="eastAsia" w:ascii="Times New Roman" w:hAnsi="Times New Roman" w:eastAsia="仿宋GB2312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《经常项目外汇业务指引》（汇发〔2020〕14号文印发）第八十六条 外汇局开具的《提取外币现钞备案表》自签发之日起30天内有效，不可重复使用。</w:t>
      </w:r>
    </w:p>
    <w:p>
      <w:pPr>
        <w:spacing w:line="600" w:lineRule="exact"/>
        <w:ind w:firstLine="562" w:firstLineChars="200"/>
        <w:rPr>
          <w:rFonts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5.是否需要办理审批结果变更手续：</w:t>
      </w:r>
      <w:r>
        <w:rPr>
          <w:rFonts w:ascii="方正仿宋_GBK" w:hAnsi="方正仿宋_GBK" w:eastAsia="方正仿宋_GBK" w:cs="方正仿宋_GBK"/>
          <w:sz w:val="28"/>
          <w:szCs w:val="28"/>
        </w:rPr>
        <w:t>否</w:t>
      </w:r>
    </w:p>
    <w:p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6.办理审批结果变更手续的要求：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无</w:t>
      </w:r>
    </w:p>
    <w:p>
      <w:pPr>
        <w:spacing w:line="600" w:lineRule="exact"/>
        <w:ind w:firstLine="562" w:firstLineChars="200"/>
        <w:rPr>
          <w:rFonts w:hint="eastAsia"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7.是否需要办理审批结果延续手续：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否</w:t>
      </w:r>
    </w:p>
    <w:p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8.办理审批结果延续手续的要求：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无</w:t>
      </w:r>
    </w:p>
    <w:p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9.审批结果的有效地域范围：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全国</w:t>
      </w:r>
    </w:p>
    <w:p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10.规定审批结果有效地域范围的依据：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无</w:t>
      </w:r>
    </w:p>
    <w:p>
      <w:pPr>
        <w:numPr>
          <w:ilvl w:val="0"/>
          <w:numId w:val="1"/>
        </w:numPr>
        <w:spacing w:line="540" w:lineRule="exact"/>
        <w:outlineLvl w:val="1"/>
        <w:rPr>
          <w:rFonts w:hint="eastAsia"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行政许可数量限制</w:t>
      </w:r>
    </w:p>
    <w:p>
      <w:pPr>
        <w:spacing w:line="600" w:lineRule="exact"/>
        <w:ind w:firstLine="562" w:firstLineChars="200"/>
        <w:rPr>
          <w:rFonts w:hint="eastAsia"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1.有无行政许可数量限制：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无</w:t>
      </w:r>
    </w:p>
    <w:p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2.公布数量限制的方式：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无</w:t>
      </w:r>
    </w:p>
    <w:p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3.公布数量限制的周期：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无</w:t>
      </w:r>
    </w:p>
    <w:p>
      <w:pPr>
        <w:spacing w:line="600" w:lineRule="exact"/>
        <w:ind w:firstLine="562" w:firstLineChars="200"/>
        <w:rPr>
          <w:rFonts w:hint="eastAsia"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4.在数量限制条件下实施行政许可的方式：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无</w:t>
      </w:r>
    </w:p>
    <w:p>
      <w:pPr>
        <w:spacing w:line="600" w:lineRule="exact"/>
        <w:ind w:firstLine="562" w:firstLineChars="200"/>
        <w:jc w:val="left"/>
        <w:rPr>
          <w:rFonts w:hint="eastAsia" w:ascii="Times New Roman" w:hAnsi="Times New Roman" w:eastAsia="仿宋GB2312"/>
          <w:b/>
          <w:bCs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5.规定在数量限制条件下实施行政许可方式的依据：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无</w:t>
      </w:r>
    </w:p>
    <w:p>
      <w:pPr>
        <w:numPr>
          <w:ilvl w:val="0"/>
          <w:numId w:val="1"/>
        </w:numPr>
        <w:spacing w:line="540" w:lineRule="exact"/>
        <w:outlineLvl w:val="1"/>
        <w:rPr>
          <w:rFonts w:hint="eastAsia"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行政许可后年检</w:t>
      </w:r>
    </w:p>
    <w:p>
      <w:pPr>
        <w:spacing w:line="600" w:lineRule="exact"/>
        <w:ind w:firstLine="562" w:firstLineChars="200"/>
        <w:rPr>
          <w:rFonts w:hint="eastAsia"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1.有无年检要求：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无</w:t>
      </w:r>
    </w:p>
    <w:p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2.设定年检要求的依据：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无</w:t>
      </w:r>
    </w:p>
    <w:p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3.年检周期：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无</w:t>
      </w:r>
    </w:p>
    <w:p>
      <w:pPr>
        <w:spacing w:line="600" w:lineRule="exact"/>
        <w:ind w:firstLine="562" w:firstLineChars="200"/>
        <w:rPr>
          <w:rFonts w:hint="eastAsia"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4.年检是否要求报送材料：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无</w:t>
      </w:r>
    </w:p>
    <w:p>
      <w:pPr>
        <w:spacing w:line="600" w:lineRule="exact"/>
        <w:ind w:firstLine="562" w:firstLineChars="200"/>
        <w:rPr>
          <w:rFonts w:hint="eastAsia"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5.年检报送材料名称：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无</w:t>
      </w:r>
    </w:p>
    <w:p>
      <w:pPr>
        <w:spacing w:line="600" w:lineRule="exact"/>
        <w:ind w:firstLine="562" w:firstLineChars="200"/>
        <w:rPr>
          <w:rFonts w:hint="eastAsia"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6.年检是否收费：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无</w:t>
      </w:r>
    </w:p>
    <w:p>
      <w:pPr>
        <w:spacing w:line="600" w:lineRule="exact"/>
        <w:ind w:firstLine="562" w:firstLineChars="200"/>
        <w:rPr>
          <w:rFonts w:hint="eastAsia" w:ascii="Times New Roman" w:hAnsi="Times New Roman" w:eastAsia="仿宋GB2312"/>
          <w:b/>
          <w:bCs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7.年检收费项目的名称、年检收费项目的标准、设定年检收费项目的依据、规定年检项目收费标准的依据：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无</w:t>
      </w:r>
    </w:p>
    <w:p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8.通过年检的证明或者标志：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无</w:t>
      </w:r>
    </w:p>
    <w:p>
      <w:pPr>
        <w:numPr>
          <w:ilvl w:val="0"/>
          <w:numId w:val="1"/>
        </w:numPr>
        <w:spacing w:line="540" w:lineRule="exact"/>
        <w:outlineLvl w:val="1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行政许可后年报</w:t>
      </w:r>
    </w:p>
    <w:p>
      <w:pPr>
        <w:spacing w:line="600" w:lineRule="exact"/>
        <w:ind w:firstLine="562" w:firstLineChars="200"/>
        <w:rPr>
          <w:rFonts w:hint="eastAsia"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1.</w:t>
      </w:r>
      <w:r>
        <w:rPr>
          <w:rFonts w:ascii="Times New Roman" w:hAnsi="Times New Roman" w:eastAsia="仿宋GB2312"/>
          <w:b/>
          <w:bCs/>
          <w:sz w:val="28"/>
          <w:szCs w:val="28"/>
        </w:rPr>
        <w:t>有无年报要求</w:t>
      </w:r>
      <w:r>
        <w:rPr>
          <w:rFonts w:hint="eastAsia" w:ascii="Times New Roman" w:hAnsi="Times New Roman" w:eastAsia="仿宋GB2312"/>
          <w:b/>
          <w:bCs/>
          <w:sz w:val="28"/>
          <w:szCs w:val="28"/>
        </w:rPr>
        <w:t>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无</w:t>
      </w:r>
    </w:p>
    <w:p>
      <w:pPr>
        <w:spacing w:line="600" w:lineRule="exact"/>
        <w:ind w:firstLine="562" w:firstLineChars="200"/>
        <w:rPr>
          <w:rFonts w:hint="eastAsia"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2.</w:t>
      </w:r>
      <w:r>
        <w:rPr>
          <w:rFonts w:ascii="Times New Roman" w:hAnsi="Times New Roman" w:eastAsia="仿宋GB2312"/>
          <w:b/>
          <w:bCs/>
          <w:sz w:val="28"/>
          <w:szCs w:val="28"/>
        </w:rPr>
        <w:t>年报报送材料名称</w:t>
      </w:r>
      <w:r>
        <w:rPr>
          <w:rFonts w:hint="eastAsia" w:ascii="Times New Roman" w:hAnsi="Times New Roman" w:eastAsia="仿宋GB2312"/>
          <w:b/>
          <w:bCs/>
          <w:sz w:val="28"/>
          <w:szCs w:val="28"/>
        </w:rPr>
        <w:t>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无</w:t>
      </w:r>
    </w:p>
    <w:p>
      <w:pPr>
        <w:spacing w:line="540" w:lineRule="exact"/>
        <w:ind w:firstLine="562" w:firstLineChars="200"/>
        <w:outlineLvl w:val="2"/>
        <w:rPr>
          <w:rFonts w:hint="eastAsia" w:ascii="Times New Roman" w:hAnsi="Times New Roman" w:eastAsia="仿宋GB2312"/>
          <w:b/>
          <w:bCs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3.</w:t>
      </w:r>
      <w:r>
        <w:rPr>
          <w:rFonts w:ascii="Times New Roman" w:hAnsi="Times New Roman" w:eastAsia="仿宋GB2312"/>
          <w:b/>
          <w:bCs/>
          <w:sz w:val="28"/>
          <w:szCs w:val="28"/>
        </w:rPr>
        <w:t>设定年报要求的依据</w:t>
      </w:r>
      <w:r>
        <w:rPr>
          <w:rFonts w:hint="eastAsia" w:ascii="Times New Roman" w:hAnsi="Times New Roman" w:eastAsia="仿宋GB2312"/>
          <w:b/>
          <w:bCs/>
          <w:sz w:val="28"/>
          <w:szCs w:val="28"/>
        </w:rPr>
        <w:t>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无</w:t>
      </w:r>
    </w:p>
    <w:p>
      <w:pPr>
        <w:spacing w:line="600" w:lineRule="exact"/>
        <w:ind w:firstLine="562" w:firstLineChars="200"/>
        <w:rPr>
          <w:rFonts w:hint="eastAsia" w:ascii="Times New Roman" w:hAnsi="Times New Roman" w:eastAsia="仿宋GB2312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sz w:val="28"/>
          <w:szCs w:val="28"/>
        </w:rPr>
        <w:t>4.</w:t>
      </w:r>
      <w:r>
        <w:rPr>
          <w:rFonts w:ascii="Times New Roman" w:hAnsi="Times New Roman" w:eastAsia="仿宋GB2312"/>
          <w:b/>
          <w:bCs/>
          <w:sz w:val="28"/>
          <w:szCs w:val="28"/>
        </w:rPr>
        <w:t>年报周期</w:t>
      </w:r>
      <w:r>
        <w:rPr>
          <w:rFonts w:hint="eastAsia" w:ascii="Times New Roman" w:hAnsi="Times New Roman" w:eastAsia="仿宋GB2312"/>
          <w:b/>
          <w:bCs/>
          <w:sz w:val="28"/>
          <w:szCs w:val="28"/>
        </w:rPr>
        <w:t>：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>无</w:t>
      </w:r>
    </w:p>
    <w:p>
      <w:pPr>
        <w:numPr>
          <w:ilvl w:val="0"/>
          <w:numId w:val="1"/>
        </w:numPr>
        <w:spacing w:line="540" w:lineRule="exact"/>
        <w:outlineLvl w:val="1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监管主体</w:t>
      </w:r>
    </w:p>
    <w:p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>国家外汇局及其分局</w:t>
      </w:r>
    </w:p>
    <w:p>
      <w:pPr>
        <w:spacing w:line="540" w:lineRule="exact"/>
        <w:outlineLvl w:val="1"/>
        <w:rPr>
          <w:rFonts w:ascii="Times New Roman" w:hAnsi="Times New Roman" w:eastAsia="黑体"/>
          <w:color w:val="auto"/>
          <w:sz w:val="28"/>
          <w:szCs w:val="28"/>
        </w:rPr>
      </w:pPr>
      <w:r>
        <w:rPr>
          <w:rFonts w:hint="eastAsia" w:ascii="Times New Roman" w:hAnsi="Times New Roman" w:eastAsia="黑体"/>
          <w:color w:val="auto"/>
          <w:sz w:val="28"/>
          <w:szCs w:val="28"/>
        </w:rPr>
        <w:t>十五、</w:t>
      </w:r>
      <w:bookmarkStart w:id="0" w:name="_Toc1293375433_WPSOffice_Level1"/>
      <w:r>
        <w:rPr>
          <w:rFonts w:hint="eastAsia" w:ascii="Times New Roman" w:hAnsi="Times New Roman" w:eastAsia="黑体"/>
          <w:color w:val="auto"/>
          <w:sz w:val="28"/>
          <w:szCs w:val="28"/>
        </w:rPr>
        <w:t>业务办理信息</w:t>
      </w:r>
      <w:bookmarkEnd w:id="0"/>
    </w:p>
    <w:p>
      <w:pPr>
        <w:spacing w:line="600" w:lineRule="exact"/>
        <w:ind w:firstLine="562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1.是否通办：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否</w:t>
      </w:r>
    </w:p>
    <w:p>
      <w:pPr>
        <w:spacing w:line="600" w:lineRule="exact"/>
        <w:ind w:firstLine="562" w:firstLineChars="200"/>
        <w:rPr>
          <w:rFonts w:ascii="方正仿宋_GBK" w:hAnsi="方正仿宋_GBK" w:eastAsia="仿宋GB2312" w:cs="方正仿宋_GBK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2.通办业务模式：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>
      <w:pPr>
        <w:spacing w:line="600" w:lineRule="exact"/>
        <w:ind w:firstLine="562" w:firstLineChars="200"/>
        <w:rPr>
          <w:rFonts w:ascii="方正仿宋_GBK" w:hAnsi="方正仿宋_GBK" w:eastAsia="仿宋GB2312" w:cs="方正仿宋_GBK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3.跨省通办事项名称：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>
      <w:pPr>
        <w:spacing w:line="600" w:lineRule="exact"/>
        <w:ind w:firstLine="562" w:firstLineChars="200"/>
        <w:rPr>
          <w:rFonts w:ascii="方正仿宋_GBK" w:hAnsi="方正仿宋_GBK" w:eastAsia="仿宋GB2312" w:cs="方正仿宋_GBK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4.是否是35号文中的跨省通办事项：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无</w:t>
      </w:r>
    </w:p>
    <w:p>
      <w:pPr>
        <w:spacing w:line="600" w:lineRule="exact"/>
        <w:ind w:firstLine="562" w:firstLineChars="200"/>
        <w:rPr>
          <w:rFonts w:hint="eastAsia" w:ascii="方正仿宋_GBK" w:hAnsi="方正仿宋_GBK" w:eastAsia="仿宋GB2312" w:cs="方正仿宋_GBK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5.是否网办：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  <w:lang w:eastAsia="zh-CN"/>
        </w:rPr>
        <w:t>否</w:t>
      </w:r>
    </w:p>
    <w:p>
      <w:pPr>
        <w:spacing w:line="600" w:lineRule="exact"/>
        <w:ind w:firstLine="562" w:firstLineChars="200"/>
        <w:rPr>
          <w:rFonts w:hint="eastAsia" w:ascii="方正仿宋_GBK" w:hAnsi="方正仿宋_GBK" w:eastAsia="仿宋GB2312" w:cs="方正仿宋_GBK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6.网上办理深度：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t>互联网预审</w:t>
      </w:r>
    </w:p>
    <w:p>
      <w:pPr>
        <w:spacing w:line="600" w:lineRule="exact"/>
        <w:ind w:firstLine="562" w:firstLineChars="200"/>
        <w:rPr>
          <w:rFonts w:hint="eastAsia" w:ascii="方正仿宋_GBK" w:hAnsi="方正仿宋_GBK" w:eastAsia="仿宋GB2312" w:cs="方正仿宋_GBK"/>
          <w:color w:val="auto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7.到办事现场次数：</w:t>
      </w: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  <w:lang w:val="en-US" w:eastAsia="zh-CN"/>
        </w:rPr>
        <w:t>1</w:t>
      </w:r>
    </w:p>
    <w:p>
      <w:pPr>
        <w:spacing w:line="600" w:lineRule="exact"/>
        <w:ind w:firstLine="562" w:firstLineChars="200"/>
        <w:rPr>
          <w:rFonts w:hint="eastAsia" w:ascii="方正仿宋_GBK" w:hAnsi="方正仿宋_GBK" w:eastAsia="仿宋GB2312" w:cs="方正仿宋_GBK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8.必须现场办理原因说明：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t>需现场核验材料</w:t>
      </w:r>
    </w:p>
    <w:p>
      <w:pPr>
        <w:spacing w:line="600" w:lineRule="exact"/>
        <w:ind w:firstLine="562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9.是否进驻政务大厅：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否</w:t>
      </w:r>
    </w:p>
    <w:p>
      <w:pPr>
        <w:spacing w:line="600" w:lineRule="exact"/>
        <w:ind w:firstLine="562" w:firstLineChars="200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10.办理地点：</w:t>
      </w:r>
    </w:p>
    <w:p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</w:pPr>
      <w:bookmarkStart w:id="1" w:name="OLE_LINK2"/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>1）国家外汇管理局石嘴山市分局：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t>宁夏回族自治区石嘴山市大武口区朝阳东街180号中国人民银行石嘴山市分行；</w:t>
      </w:r>
    </w:p>
    <w:p>
      <w:pPr>
        <w:pStyle w:val="2"/>
        <w:ind w:left="0" w:leftChars="0"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>2）国家外汇管理局吴忠市分局：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t>宁夏回族自治区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>吴忠市利通区古城路83号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t>中国人民银行吴忠市分行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>；</w:t>
      </w:r>
    </w:p>
    <w:p>
      <w:pPr>
        <w:pStyle w:val="2"/>
        <w:ind w:left="0" w:leftChars="0" w:firstLine="560" w:firstLineChars="200"/>
        <w:rPr>
          <w:rFonts w:hint="default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>3）国家外汇管理局吴忠市分局同心营业管理部：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t>宁夏回族自治区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>吴忠市同心县豫海北街33号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t>中国人民银行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>同心营业管理部；</w:t>
      </w:r>
    </w:p>
    <w:p>
      <w:pPr>
        <w:pStyle w:val="2"/>
        <w:ind w:left="0" w:leftChars="0"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>4）国家外汇管理局固原市分局：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t>宁夏回族自治区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>固原市原州区八一路中国人民银行固原市分行；</w:t>
      </w:r>
    </w:p>
    <w:p>
      <w:pPr>
        <w:pStyle w:val="2"/>
        <w:ind w:left="0" w:leftChars="0"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>5）国家外汇管理局中卫市分局：宁夏中卫市沙坡头区丰安东路3号中国人民银行中卫市分行。</w:t>
      </w:r>
    </w:p>
    <w:p>
      <w:pPr>
        <w:spacing w:line="600" w:lineRule="exact"/>
        <w:ind w:firstLine="562" w:firstLineChars="200"/>
        <w:jc w:val="both"/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11.办理时间：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周一至周五，上午0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: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>0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0到12:00,下午1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: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>00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到17: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0</w:t>
      </w:r>
      <w:bookmarkStart w:id="2" w:name="_GoBack"/>
      <w:bookmarkEnd w:id="2"/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；周六、周日及法定节假日不对外办理业务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t>。</w:t>
      </w:r>
    </w:p>
    <w:p>
      <w:pPr>
        <w:spacing w:line="600" w:lineRule="exact"/>
        <w:ind w:firstLine="562" w:firstLineChars="200"/>
        <w:jc w:val="both"/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12.咨询方式：</w:t>
      </w:r>
    </w:p>
    <w:bookmarkEnd w:id="1"/>
    <w:p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>1）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t>国家外汇管理局石嘴山市分局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>：0952-2090469；</w:t>
      </w:r>
    </w:p>
    <w:p>
      <w:pPr>
        <w:pStyle w:val="2"/>
        <w:ind w:left="0" w:leftChars="0"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>2）国家外汇管理局吴忠市分局：0953-2059138；</w:t>
      </w:r>
    </w:p>
    <w:p>
      <w:pPr>
        <w:pStyle w:val="2"/>
        <w:ind w:left="279" w:leftChars="133" w:firstLine="280" w:firstLineChars="100"/>
        <w:rPr>
          <w:rFonts w:hint="default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>3）国家外汇管理局吴忠市分局同心营业管理部：0953-2057274；</w:t>
      </w:r>
    </w:p>
    <w:p>
      <w:pPr>
        <w:pStyle w:val="2"/>
        <w:ind w:left="0" w:leftChars="0"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>4）国家外汇管理局固原市分局：0954-2042704；</w:t>
      </w:r>
    </w:p>
    <w:p>
      <w:pPr>
        <w:pStyle w:val="2"/>
        <w:ind w:left="0" w:leftChars="0" w:firstLine="560" w:firstLineChars="200"/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t>（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val="en-US" w:eastAsia="zh-CN"/>
        </w:rPr>
        <w:t>5）国家外汇管理局中卫市分局：0955-7025150。</w:t>
      </w:r>
    </w:p>
    <w:p>
      <w:pPr>
        <w:spacing w:line="600" w:lineRule="exact"/>
        <w:ind w:firstLine="562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13.监督投诉方式：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</w:rPr>
        <w:t>监督和投诉等可通过国家外汇管理局宁夏回族自治区分局网站www.safe.gov.cn/ningxia/的投诉建议栏目进行,也可通过该网站公布的电话进行。</w:t>
      </w:r>
    </w:p>
    <w:p>
      <w:pPr>
        <w:spacing w:line="600" w:lineRule="exact"/>
        <w:ind w:firstLine="562" w:firstLineChars="200"/>
        <w:rPr>
          <w:rFonts w:ascii="方正仿宋_GBK" w:hAnsi="方正仿宋_GBK" w:eastAsia="方正仿宋_GBK" w:cs="方正仿宋_GBK"/>
          <w:color w:val="auto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14.是否支持网上支付：</w:t>
      </w:r>
      <w:r>
        <w:rPr>
          <w:rFonts w:ascii="方正仿宋_GBK" w:hAnsi="方正仿宋_GBK" w:eastAsia="方正仿宋_GBK" w:cs="方正仿宋_GBK"/>
          <w:color w:val="auto"/>
          <w:sz w:val="28"/>
          <w:szCs w:val="28"/>
        </w:rPr>
        <w:t>否</w:t>
      </w:r>
    </w:p>
    <w:p>
      <w:pPr>
        <w:spacing w:line="600" w:lineRule="exact"/>
        <w:ind w:firstLine="562" w:firstLineChars="200"/>
        <w:rPr>
          <w:rFonts w:hint="eastAsia"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仿宋GB2312"/>
          <w:b/>
          <w:bCs/>
          <w:color w:val="auto"/>
          <w:sz w:val="28"/>
          <w:szCs w:val="28"/>
        </w:rPr>
        <w:t>15.是否支持物流快递：</w:t>
      </w:r>
      <w:r>
        <w:rPr>
          <w:rFonts w:hint="eastAsia" w:ascii="方正仿宋_GBK" w:hAnsi="方正仿宋_GBK" w:eastAsia="方正仿宋_GBK" w:cs="方正仿宋_GBK"/>
          <w:color w:val="auto"/>
          <w:sz w:val="28"/>
          <w:szCs w:val="28"/>
          <w:lang w:eastAsia="zh-CN"/>
        </w:rPr>
        <w:t>否</w:t>
      </w:r>
    </w:p>
    <w:p>
      <w:pPr>
        <w:spacing w:line="540" w:lineRule="exact"/>
        <w:outlineLvl w:val="1"/>
        <w:rPr>
          <w:rFonts w:hint="eastAsia"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十</w:t>
      </w:r>
      <w:r>
        <w:rPr>
          <w:rFonts w:hint="eastAsia" w:ascii="Times New Roman" w:hAnsi="Times New Roman" w:eastAsia="黑体"/>
          <w:sz w:val="28"/>
          <w:szCs w:val="28"/>
          <w:lang w:eastAsia="zh-CN"/>
        </w:rPr>
        <w:t>六</w:t>
      </w:r>
      <w:r>
        <w:rPr>
          <w:rFonts w:hint="eastAsia" w:ascii="Times New Roman" w:hAnsi="Times New Roman" w:eastAsia="黑体"/>
          <w:sz w:val="28"/>
          <w:szCs w:val="28"/>
        </w:rPr>
        <w:t>、备注</w:t>
      </w:r>
    </w:p>
    <w:p>
      <w:pPr>
        <w:spacing w:line="600" w:lineRule="exact"/>
        <w:ind w:firstLine="560" w:firstLineChars="200"/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spacing w:line="540" w:lineRule="exact"/>
        <w:outlineLvl w:val="1"/>
        <w:rPr>
          <w:rFonts w:ascii="Times New Roman" w:hAnsi="Times New Roman" w:eastAsia="黑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GB2312">
    <w:altName w:val="仿宋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F30B91"/>
    <w:multiLevelType w:val="singleLevel"/>
    <w:tmpl w:val="EFF30B9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4MzVlNjk0M2ViNzEzYjEyZTgwNDYzOTU3YzMzZWUifQ=="/>
  </w:docVars>
  <w:rsids>
    <w:rsidRoot w:val="00172A27"/>
    <w:rsid w:val="001A76A3"/>
    <w:rsid w:val="009A6FF3"/>
    <w:rsid w:val="00F86297"/>
    <w:rsid w:val="27061268"/>
    <w:rsid w:val="29140735"/>
    <w:rsid w:val="57301E77"/>
    <w:rsid w:val="59F23B1F"/>
    <w:rsid w:val="5E4949AA"/>
    <w:rsid w:val="5F0A3119"/>
    <w:rsid w:val="61F676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unhideWhenUsed/>
    <w:qFormat/>
    <w:uiPriority w:val="39"/>
    <w:pPr>
      <w:ind w:left="840" w:leftChars="400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眉 Char"/>
    <w:link w:val="5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564</Words>
  <Characters>3215</Characters>
  <Lines>26</Lines>
  <Paragraphs>7</Paragraphs>
  <TotalTime>0</TotalTime>
  <ScaleCrop>false</ScaleCrop>
  <LinksUpToDate>false</LinksUpToDate>
  <CharactersWithSpaces>3772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2020-07-23T08:39:00Z</dcterms:created>
  <dc:creator>49152</dc:creator>
  <cp:lastModifiedBy>Administrator</cp:lastModifiedBy>
  <cp:lastPrinted>2022-06-15T22:53:00Z</cp:lastPrinted>
  <dcterms:modified xsi:type="dcterms:W3CDTF">2026-07-10T07:50:59Z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8538FE0699894DDBB52C9CC2A83EAC20</vt:lpwstr>
  </property>
  <property fmtid="{D5CDD505-2E9C-101B-9397-08002B2CF9AE}" pid="3" name="KSOProductBuildVer">
    <vt:lpwstr>2052-11.8.2.12118</vt:lpwstr>
  </property>
</Properties>
</file>