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114300" distR="114300">
            <wp:extent cx="1104265" cy="885825"/>
            <wp:effectExtent l="0" t="0" r="8255" b="1333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7"/>
                    <a:stretch>
                      <a:fillRect/>
                    </a:stretch>
                  </pic:blipFill>
                  <pic:spPr>
                    <a:xfrm>
                      <a:off x="0" y="0"/>
                      <a:ext cx="1104265" cy="885825"/>
                    </a:xfrm>
                    <a:prstGeom prst="rect">
                      <a:avLst/>
                    </a:prstGeom>
                    <a:noFill/>
                    <a:ln>
                      <a:noFill/>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w:t>
      </w:r>
      <w:r>
        <w:rPr>
          <w:rFonts w:hint="eastAsia" w:ascii="Times New Roman" w:hAnsi="Times New Roman" w:eastAsia="仿宋_GB2312" w:cs="Times New Roman"/>
          <w:sz w:val="30"/>
          <w:szCs w:val="30"/>
        </w:rPr>
        <w:t>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rtlGutter w:val="0"/>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w:t>
      </w:r>
      <w:bookmarkStart w:id="0" w:name="_GoBack"/>
      <w:bookmarkEnd w:id="0"/>
      <w:r>
        <w:rPr>
          <w:rFonts w:ascii="Times New Roman" w:hAnsi="Times New Roman" w:eastAsia="仿宋_GB2312" w:cs="Times New Roman"/>
          <w:sz w:val="30"/>
          <w:szCs w:val="30"/>
        </w:rPr>
        <w:t>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四、银行（含农村信用社）人民币与外汇衍生产品业务市场准入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仅适用于总行。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政策性银行、全国性商业银行向国家外汇管理局申请；其他银行向所在地国家外汇管理局分局申请，如处于市（地、州、区）、县，应向所在地国家外汇管理局</w:t>
      </w:r>
      <w:r>
        <w:rPr>
          <w:rFonts w:hint="eastAsia" w:ascii="Times New Roman" w:hAnsi="Times New Roman" w:eastAsia="仿宋_GB2312" w:cs="Times New Roman"/>
          <w:sz w:val="30"/>
          <w:szCs w:val="30"/>
          <w:lang w:eastAsia="zh-CN"/>
        </w:rPr>
        <w:t>市分局</w:t>
      </w:r>
      <w:r>
        <w:rPr>
          <w:rFonts w:ascii="Times New Roman" w:hAnsi="Times New Roman" w:eastAsia="仿宋_GB2312" w:cs="Times New Roman"/>
          <w:sz w:val="30"/>
          <w:szCs w:val="30"/>
        </w:rPr>
        <w:t>或支局申请，并逐级上报至国家外汇管理局分局。外国银行分行视同总行管理。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政策性银行、全国性商业银行决定机构为国家外汇管理局；其他银行决定机构为所在地国家外汇管理局分局。外国银行分行视同总行管理。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noWrap w:val="0"/>
            <w:vAlign w:val="center"/>
          </w:tcPr>
          <w:p>
            <w:pPr>
              <w:jc w:val="left"/>
              <w:rPr>
                <w:rFonts w:ascii="Times New Roman" w:hAnsi="Times New Roman" w:eastAsia="仿宋_GB2312" w:cs="Times New Roman"/>
                <w:b/>
                <w:bCs/>
                <w:kern w:val="44"/>
                <w:sz w:val="24"/>
                <w:szCs w:val="24"/>
              </w:rPr>
            </w:pPr>
          </w:p>
        </w:tc>
        <w:tc>
          <w:tcPr>
            <w:tcW w:w="1064" w:type="dxa"/>
            <w:noWrap w:val="0"/>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noWrap w:val="0"/>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noWrap w:val="0"/>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noWrap w:val="0"/>
            <w:vAlign w:val="center"/>
          </w:tcPr>
          <w:p>
            <w:pPr>
              <w:jc w:val="center"/>
              <w:rPr>
                <w:rFonts w:ascii="Times New Roman" w:hAnsi="Times New Roman" w:eastAsia="仿宋_GB2312" w:cs="Times New Roman"/>
                <w:b/>
                <w:bCs/>
                <w:kern w:val="44"/>
                <w:sz w:val="24"/>
                <w:szCs w:val="24"/>
              </w:rPr>
            </w:pPr>
          </w:p>
        </w:tc>
        <w:tc>
          <w:tcPr>
            <w:tcW w:w="1064" w:type="dxa"/>
            <w:noWrap w:val="0"/>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noWrap w:val="0"/>
            <w:vAlign w:val="center"/>
          </w:tcPr>
          <w:p>
            <w:pPr>
              <w:jc w:val="center"/>
              <w:rPr>
                <w:rFonts w:ascii="Times New Roman" w:hAnsi="Times New Roman" w:eastAsia="仿宋_GB2312" w:cs="Times New Roman"/>
                <w:b/>
                <w:bCs/>
                <w:kern w:val="44"/>
                <w:sz w:val="24"/>
                <w:szCs w:val="24"/>
              </w:rPr>
            </w:pPr>
          </w:p>
        </w:tc>
        <w:tc>
          <w:tcPr>
            <w:tcW w:w="1064" w:type="dxa"/>
            <w:noWrap w:val="0"/>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宁夏回族自治区分局</w:t>
      </w:r>
      <w:r>
        <w:rPr>
          <w:rFonts w:ascii="Times New Roman" w:hAnsi="Times New Roman" w:eastAsia="仿宋_GB2312" w:cs="Times New Roman"/>
          <w:sz w:val="30"/>
          <w:szCs w:val="30"/>
        </w:rPr>
        <w:t>办公地址：宁夏回族自治区银川市兴庆区北京东路215号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办公时间：周一至周五，</w:t>
      </w:r>
      <w:r>
        <w:rPr>
          <w:rFonts w:hint="eastAsia" w:ascii="Times New Roman" w:hAnsi="Times New Roman" w:eastAsia="仿宋_GB2312" w:cs="Times New Roman"/>
          <w:sz w:val="30"/>
          <w:szCs w:val="30"/>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乘车路线</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公交车</w:t>
      </w:r>
      <w:r>
        <w:rPr>
          <w:rFonts w:hint="eastAsia" w:ascii="Times New Roman" w:hAnsi="Times New Roman" w:eastAsia="仿宋_GB2312" w:cs="Times New Roman"/>
          <w:sz w:val="30"/>
          <w:szCs w:val="30"/>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电话、网址</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官方互联网站的相应栏目进行。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0951-5189347</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rPr>
          <w:rFonts w:ascii="Times New Roman" w:hAnsi="Times New Roman" w:eastAsia="仿宋_GB2312" w:cs="Times New Roman"/>
          <w:sz w:val="30"/>
          <w:szCs w:val="30"/>
        </w:rPr>
        <w:t>国家</w:t>
      </w:r>
      <w:r>
        <w:rPr>
          <w:rFonts w:ascii="Times New Roman" w:hAnsi="Times New Roman" w:eastAsia="仿宋_GB2312" w:cs="Times New Roman"/>
          <w:sz w:val="30"/>
          <w:szCs w:val="30"/>
          <w:lang w:val="zh-CN" w:bidi="zh-CN"/>
        </w:rPr>
        <w:t>外汇管理局官方互联网站</w:t>
      </w:r>
      <w:r>
        <w:fldChar w:fldCharType="begin"/>
      </w:r>
      <w:r>
        <w:instrText xml:space="preserve">HYPERLINK "http://www.safe.gov.cn/" </w:instrText>
      </w:r>
      <w:r>
        <w:fldChar w:fldCharType="separate"/>
      </w:r>
      <w:r>
        <w:rPr>
          <w:rFonts w:ascii="Times New Roman" w:hAnsi="Times New Roman" w:eastAsia="仿宋_GB2312" w:cs="Times New Roman"/>
          <w:sz w:val="30"/>
          <w:szCs w:val="30"/>
          <w:lang w:bidi="zh-CN"/>
        </w:rPr>
        <w:t>www.safe.gov.cn</w:t>
      </w:r>
      <w:r>
        <w:fldChar w:fldCharType="end"/>
      </w:r>
      <w:r>
        <w:rPr>
          <w:rFonts w:hint="eastAsia" w:ascii="Times New Roman" w:hAnsi="Times New Roman" w:eastAsia="仿宋_GB2312" w:cs="Times New Roman"/>
          <w:sz w:val="30"/>
          <w:szCs w:val="30"/>
          <w:lang w:val="zh-CN" w:bidi="zh-CN"/>
        </w:rPr>
        <w:t>链接至宁夏分局</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宁夏分局</w:t>
      </w:r>
      <w:r>
        <w:rPr>
          <w:rFonts w:ascii="Times New Roman" w:hAnsi="Times New Roman" w:eastAsia="仿宋_GB2312" w:cs="Times New Roman"/>
          <w:sz w:val="30"/>
          <w:szCs w:val="30"/>
        </w:rPr>
        <w:t>官方互联网站的相应栏目进行。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0951-5189505</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rPr>
          <w:rFonts w:ascii="Times New Roman" w:hAnsi="Times New Roman" w:eastAsia="仿宋_GB2312" w:cs="Times New Roman"/>
          <w:sz w:val="30"/>
          <w:szCs w:val="30"/>
        </w:rPr>
        <w:t>国家</w:t>
      </w:r>
      <w:r>
        <w:rPr>
          <w:rFonts w:ascii="Times New Roman" w:hAnsi="Times New Roman" w:eastAsia="仿宋_GB2312" w:cs="Times New Roman"/>
          <w:sz w:val="30"/>
          <w:szCs w:val="30"/>
          <w:lang w:val="zh-CN" w:bidi="zh-CN"/>
        </w:rPr>
        <w:t>外汇管理局官方互联网站</w:t>
      </w:r>
      <w:r>
        <w:fldChar w:fldCharType="begin"/>
      </w:r>
      <w:r>
        <w:instrText xml:space="preserve">HYPERLINK "http://www.safe.gov.cn/" </w:instrText>
      </w:r>
      <w:r>
        <w:fldChar w:fldCharType="separate"/>
      </w:r>
      <w:r>
        <w:rPr>
          <w:rFonts w:ascii="Times New Roman" w:hAnsi="Times New Roman" w:eastAsia="仿宋_GB2312" w:cs="Times New Roman"/>
          <w:sz w:val="30"/>
          <w:szCs w:val="30"/>
          <w:lang w:bidi="zh-CN"/>
        </w:rPr>
        <w:t>www.safe.gov.cn</w:t>
      </w:r>
      <w:r>
        <w:fldChar w:fldCharType="end"/>
      </w:r>
      <w:r>
        <w:rPr>
          <w:rFonts w:hint="eastAsia" w:ascii="Times New Roman" w:hAnsi="Times New Roman" w:eastAsia="仿宋_GB2312" w:cs="Times New Roman"/>
          <w:sz w:val="30"/>
          <w:szCs w:val="30"/>
          <w:lang w:val="zh-CN" w:bidi="zh-CN"/>
        </w:rPr>
        <w:t>链接至宁夏分局</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rtlGutter w:val="0"/>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-503555</wp:posOffset>
                </wp:positionH>
                <wp:positionV relativeFrom="paragraph">
                  <wp:posOffset>369570</wp:posOffset>
                </wp:positionV>
                <wp:extent cx="5838190" cy="5353050"/>
                <wp:effectExtent l="9525" t="4445" r="19685" b="6985"/>
                <wp:wrapNone/>
                <wp:docPr id="20" name="Group 423"/>
                <wp:cNvGraphicFramePr/>
                <a:graphic xmlns:a="http://schemas.openxmlformats.org/drawingml/2006/main">
                  <a:graphicData uri="http://schemas.microsoft.com/office/word/2010/wordprocessingGroup">
                    <wpg:wgp>
                      <wpg:cNvGrpSpPr/>
                      <wpg:grpSpPr>
                        <a:xfrm>
                          <a:off x="0" y="0"/>
                          <a:ext cx="5838190" cy="5353050"/>
                          <a:chOff x="0" y="0"/>
                          <a:chExt cx="9194" cy="8430"/>
                        </a:xfrm>
                      </wpg:grpSpPr>
                      <wps:wsp>
                        <wps:cNvPr id="1" name="Straight Connector 424"/>
                        <wps:cNvCnPr/>
                        <wps:spPr>
                          <a:xfrm>
                            <a:off x="1605" y="1423"/>
                            <a:ext cx="17" cy="1468"/>
                          </a:xfrm>
                          <a:prstGeom prst="straightConnector1">
                            <a:avLst/>
                          </a:prstGeom>
                          <a:ln w="9525" cap="flat" cmpd="sng">
                            <a:solidFill>
                              <a:srgbClr val="000000"/>
                            </a:solidFill>
                            <a:prstDash val="solid"/>
                            <a:headEnd type="none" w="med" len="med"/>
                            <a:tailEnd type="triangle" w="med" len="med"/>
                          </a:ln>
                        </wps:spPr>
                        <wps:bodyPr/>
                      </wps:wsp>
                      <wps:wsp>
                        <wps:cNvPr id="2" name="Straight Connector 425"/>
                        <wps:cNvCnPr/>
                        <wps:spPr>
                          <a:xfrm>
                            <a:off x="2660" y="2519"/>
                            <a:ext cx="1172" cy="0"/>
                          </a:xfrm>
                          <a:prstGeom prst="straightConnector1">
                            <a:avLst/>
                          </a:prstGeom>
                          <a:ln w="9525" cap="flat" cmpd="sng">
                            <a:solidFill>
                              <a:srgbClr val="000000"/>
                            </a:solidFill>
                            <a:prstDash val="solid"/>
                            <a:headEnd type="none" w="med" len="med"/>
                            <a:tailEnd type="triangle" w="med" len="med"/>
                          </a:ln>
                        </wps:spPr>
                        <wps:bodyPr/>
                      </wps:wsp>
                      <wps:wsp>
                        <wps:cNvPr id="3" name="Straight Connector 426"/>
                        <wps:cNvCnPr/>
                        <wps:spPr>
                          <a:xfrm>
                            <a:off x="2660" y="3323"/>
                            <a:ext cx="1172" cy="0"/>
                          </a:xfrm>
                          <a:prstGeom prst="straightConnector1">
                            <a:avLst/>
                          </a:prstGeom>
                          <a:ln w="9525" cap="flat" cmpd="sng">
                            <a:solidFill>
                              <a:srgbClr val="000000"/>
                            </a:solidFill>
                            <a:prstDash val="solid"/>
                            <a:headEnd type="none" w="med" len="med"/>
                            <a:tailEnd type="triangle" w="med" len="med"/>
                          </a:ln>
                        </wps:spPr>
                        <wps:bodyPr/>
                      </wps:wsp>
                      <wps:wsp>
                        <wps:cNvPr id="4" name="Straight Connector 427"/>
                        <wps:cNvCnPr/>
                        <wps:spPr>
                          <a:xfrm flipV="1">
                            <a:off x="7184" y="1372"/>
                            <a:ext cx="1" cy="895"/>
                          </a:xfrm>
                          <a:prstGeom prst="straightConnector1">
                            <a:avLst/>
                          </a:prstGeom>
                          <a:ln w="9525" cap="flat" cmpd="sng">
                            <a:solidFill>
                              <a:srgbClr val="000000"/>
                            </a:solidFill>
                            <a:prstDash val="solid"/>
                            <a:headEnd type="none" w="med" len="med"/>
                            <a:tailEnd type="triangle" w="med" len="med"/>
                          </a:ln>
                        </wps:spPr>
                        <wps:bodyPr/>
                      </wps:wsp>
                      <wps:wsp>
                        <wps:cNvPr id="5" name="Straight Connector 428"/>
                        <wps:cNvCnPr/>
                        <wps:spPr>
                          <a:xfrm flipH="1">
                            <a:off x="1622" y="1711"/>
                            <a:ext cx="4643" cy="1"/>
                          </a:xfrm>
                          <a:prstGeom prst="straightConnector1">
                            <a:avLst/>
                          </a:prstGeom>
                          <a:ln w="9525" cap="flat" cmpd="sng">
                            <a:solidFill>
                              <a:srgbClr val="000000"/>
                            </a:solidFill>
                            <a:prstDash val="solid"/>
                            <a:headEnd type="none" w="med" len="med"/>
                            <a:tailEnd type="triangle" w="med" len="med"/>
                          </a:ln>
                        </wps:spPr>
                        <wps:bodyPr/>
                      </wps:wsp>
                      <wps:wsp>
                        <wps:cNvPr id="6" name="Straight Connector 429"/>
                        <wps:cNvCnPr/>
                        <wps:spPr>
                          <a:xfrm>
                            <a:off x="4385" y="5382"/>
                            <a:ext cx="0" cy="437"/>
                          </a:xfrm>
                          <a:prstGeom prst="straightConnector1">
                            <a:avLst/>
                          </a:prstGeom>
                          <a:ln w="9525" cap="flat" cmpd="sng">
                            <a:solidFill>
                              <a:srgbClr val="000000"/>
                            </a:solidFill>
                            <a:prstDash val="solid"/>
                            <a:headEnd type="none" w="med" len="med"/>
                            <a:tailEnd type="triangle" w="med" len="med"/>
                          </a:ln>
                        </wps:spPr>
                        <wps:bodyPr/>
                      </wps:wsp>
                      <wps:wsp>
                        <wps:cNvPr id="7" name="Straight Connector 430"/>
                        <wps:cNvCnPr/>
                        <wps:spPr>
                          <a:xfrm>
                            <a:off x="5540" y="6353"/>
                            <a:ext cx="17" cy="905"/>
                          </a:xfrm>
                          <a:prstGeom prst="straightConnector1">
                            <a:avLst/>
                          </a:prstGeom>
                          <a:ln w="9525" cap="flat" cmpd="sng">
                            <a:solidFill>
                              <a:srgbClr val="000000"/>
                            </a:solidFill>
                            <a:prstDash val="solid"/>
                            <a:headEnd type="none" w="med" len="med"/>
                            <a:tailEnd type="triangle" w="med" len="med"/>
                          </a:ln>
                        </wps:spPr>
                        <wps:bodyPr/>
                      </wps:wsp>
                      <wps:wsp>
                        <wps:cNvPr id="8" name="Straight Connector 431"/>
                        <wps:cNvCnPr/>
                        <wps:spPr>
                          <a:xfrm>
                            <a:off x="3425" y="6353"/>
                            <a:ext cx="1" cy="905"/>
                          </a:xfrm>
                          <a:prstGeom prst="straightConnector1">
                            <a:avLst/>
                          </a:prstGeom>
                          <a:ln w="9525" cap="flat" cmpd="sng">
                            <a:solidFill>
                              <a:srgbClr val="000000"/>
                            </a:solidFill>
                            <a:prstDash val="solid"/>
                            <a:headEnd type="none" w="med" len="med"/>
                            <a:tailEnd type="triangle" w="med" len="med"/>
                          </a:ln>
                        </wps:spPr>
                        <wps:bodyPr/>
                      </wps:wsp>
                      <wps:wsp>
                        <wps:cNvPr id="9" name="Straight Connector 432"/>
                        <wps:cNvCnPr/>
                        <wps:spPr>
                          <a:xfrm>
                            <a:off x="1605" y="3556"/>
                            <a:ext cx="0" cy="1391"/>
                          </a:xfrm>
                          <a:prstGeom prst="straightConnector1">
                            <a:avLst/>
                          </a:prstGeom>
                          <a:ln w="9525" cap="flat" cmpd="sng">
                            <a:solidFill>
                              <a:srgbClr val="000000"/>
                            </a:solidFill>
                            <a:prstDash val="solid"/>
                            <a:headEnd type="none" w="med" len="med"/>
                            <a:tailEnd type="none" w="med" len="med"/>
                          </a:ln>
                        </wps:spPr>
                        <wps:bodyPr/>
                      </wps:wsp>
                      <wps:wsp>
                        <wps:cNvPr id="10" name="Straight Connector 433"/>
                        <wps:cNvCnPr/>
                        <wps:spPr>
                          <a:xfrm>
                            <a:off x="1605" y="4947"/>
                            <a:ext cx="822" cy="0"/>
                          </a:xfrm>
                          <a:prstGeom prst="straightConnector1">
                            <a:avLst/>
                          </a:prstGeom>
                          <a:ln w="9525" cap="flat" cmpd="sng">
                            <a:solidFill>
                              <a:srgbClr val="000000"/>
                            </a:solidFill>
                            <a:prstDash val="solid"/>
                            <a:headEnd type="none" w="med" len="med"/>
                            <a:tailEnd type="triangle" w="med" len="med"/>
                          </a:ln>
                        </wps:spPr>
                        <wps:bodyPr/>
                      </wps:wsp>
                      <wps:wsp>
                        <wps:cNvPr id="11" name="Flowchart: Decision 434"/>
                        <wps:cNvSpPr/>
                        <wps:spPr>
                          <a:xfrm>
                            <a:off x="0" y="1997"/>
                            <a:ext cx="3274" cy="1889"/>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接件并当场（或5个工作日）作出是否受理决定</w:t>
                              </w:r>
                            </w:p>
                            <w:p/>
                          </w:txbxContent>
                        </wps:txbx>
                        <wps:bodyPr wrap="square" upright="1"/>
                      </wps:wsp>
                      <wps:wsp>
                        <wps:cNvPr id="12" name="Rectangle 435"/>
                        <wps:cNvSpPr/>
                        <wps:spPr>
                          <a:xfrm>
                            <a:off x="6265" y="1200"/>
                            <a:ext cx="2094" cy="7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申请人补全材料</w:t>
                              </w:r>
                            </w:p>
                            <w:p/>
                          </w:txbxContent>
                        </wps:txbx>
                        <wps:bodyPr wrap="square" upright="1"/>
                      </wps:wsp>
                      <wps:wsp>
                        <wps:cNvPr id="13" name="Rectangle 436"/>
                        <wps:cNvSpPr/>
                        <wps:spPr>
                          <a:xfrm>
                            <a:off x="3832" y="2267"/>
                            <a:ext cx="5362" cy="5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材料不全或不符合法定形式的，一次性告知补正材料</w:t>
                              </w:r>
                            </w:p>
                            <w:p/>
                          </w:txbxContent>
                        </wps:txbx>
                        <wps:bodyPr wrap="square" upright="1"/>
                      </wps:wsp>
                      <wps:wsp>
                        <wps:cNvPr id="14" name="Rectangle 437"/>
                        <wps:cNvSpPr/>
                        <wps:spPr>
                          <a:xfrm>
                            <a:off x="3832" y="3119"/>
                            <a:ext cx="5362" cy="906"/>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依法不予受理的，作出不予受理决定，出具不予受理通知书</w:t>
                              </w:r>
                            </w:p>
                            <w:p/>
                          </w:txbxContent>
                        </wps:txbx>
                        <wps:bodyPr wrap="square" upright="1"/>
                      </wps:wsp>
                      <wps:wsp>
                        <wps:cNvPr id="15" name="Rectangle 438"/>
                        <wps:cNvSpPr/>
                        <wps:spPr>
                          <a:xfrm>
                            <a:off x="2426" y="4779"/>
                            <a:ext cx="4104" cy="6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依法应予受理，出具受理单</w:t>
                              </w:r>
                            </w:p>
                            <w:p/>
                          </w:txbxContent>
                        </wps:txbx>
                        <wps:bodyPr wrap="square" upright="1"/>
                      </wps:wsp>
                      <wps:wsp>
                        <wps:cNvPr id="16" name="Rectangle 439"/>
                        <wps:cNvSpPr/>
                        <wps:spPr>
                          <a:xfrm>
                            <a:off x="2427" y="5819"/>
                            <a:ext cx="4252" cy="5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审查报批</w:t>
                              </w:r>
                            </w:p>
                            <w:p/>
                          </w:txbxContent>
                        </wps:txbx>
                        <wps:bodyPr wrap="square" upright="1"/>
                      </wps:wsp>
                      <wps:wsp>
                        <wps:cNvPr id="17" name="Rectangle 440"/>
                        <wps:cNvSpPr/>
                        <wps:spPr>
                          <a:xfrm>
                            <a:off x="764" y="0"/>
                            <a:ext cx="2894" cy="14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wps:txbx>
                        <wps:bodyPr wrap="square" upright="1"/>
                      </wps:wsp>
                      <wps:wsp>
                        <wps:cNvPr id="18" name="Rectangle 441"/>
                        <wps:cNvSpPr/>
                        <wps:spPr>
                          <a:xfrm>
                            <a:off x="2426" y="7258"/>
                            <a:ext cx="1747" cy="117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予以许可，向申请人出具正式公文或备案表</w:t>
                              </w:r>
                            </w:p>
                            <w:p/>
                          </w:txbxContent>
                        </wps:txbx>
                        <wps:bodyPr wrap="square" upright="1"/>
                      </wps:wsp>
                      <wps:wsp>
                        <wps:cNvPr id="19" name="Rectangle 442"/>
                        <wps:cNvSpPr/>
                        <wps:spPr>
                          <a:xfrm>
                            <a:off x="4783" y="7258"/>
                            <a:ext cx="1747" cy="117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依法作出不予许可决定，并送达</w:t>
                              </w:r>
                            </w:p>
                            <w:p/>
                          </w:txbxContent>
                        </wps:txbx>
                        <wps:bodyPr wrap="square" upright="1"/>
                      </wps:wsp>
                    </wpg:wgp>
                  </a:graphicData>
                </a:graphic>
              </wp:anchor>
            </w:drawing>
          </mc:Choice>
          <mc:Fallback>
            <w:pict>
              <v:group id="Group 423" o:spid="_x0000_s1026" o:spt="203" style="position:absolute;left:0pt;margin-left:-39.65pt;margin-top:29.1pt;height:421.5pt;width:459.7pt;z-index:251659264;mso-width-relative:page;mso-height-relative:page;" coordsize="9194,8430" o:gfxdata="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">
                <o:lock v:ext="edit" aspectratio="f"/>
                <v:shape id="Straight Connector 424" o:spid="_x0000_s1026" o:spt="32" type="#_x0000_t32" style="position:absolute;left:1605;top:1423;height:1468;width:17;" filled="f" stroked="t" coordsize="21600,21600" o:gfxdata="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Dt3V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Straight Connector 425" o:spid="_x0000_s1026" o:spt="32" type="#_x0000_t32" style="position:absolute;left:2660;top:2519;height:0;width:1172;" filled="f" stroked="t" coordsize="21600,21600" o:gfxdata="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cQ6K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Straight Connector 426" o:spid="_x0000_s1026" o:spt="32" type="#_x0000_t32" style="position:absolute;left:2660;top:3323;height:0;width:1172;" filled="f" stroked="t" coordsize="21600,21600" o:gfxdata="UEsDBAoAAAAAAIdO4kAAAAAAAAAAAAAAAAAEAAAAZHJzL1BLAwQUAAAACACHTuJA15DmObwAAADa&#10;AAAADwAAAGRycy9kb3ducmV2LnhtbEWPT2sCMRTE74V+h/AK3mrWC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Q5jm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Straight Connector 427" o:spid="_x0000_s1026" o:spt="32" type="#_x0000_t32" style="position:absolute;left:7184;top:1372;flip:y;height:895;width:1;" filled="f" stroked="t" coordsize="21600,21600" o:gfxdata="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Kdly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Straight Connector 428" o:spid="_x0000_s1026" o:spt="32" type="#_x0000_t32" style="position:absolute;left:1622;top:1711;flip:x;height:1;width:4643;" filled="f" stroked="t" coordsize="21600,21600" o:gfxdata="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68BS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429" o:spid="_x0000_s1026" o:spt="32" type="#_x0000_t32" style="position:absolute;left:4385;top:5382;height:437;width:0;" filled="f" stroked="t" coordsize="21600,21600" o:gfxdata="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nRaG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Straight Connector 430" o:spid="_x0000_s1026" o:spt="32" type="#_x0000_t32" style="position:absolute;left:5540;top:6353;height:905;width:17;"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431" o:spid="_x0000_s1026" o:spt="32" type="#_x0000_t32" style="position:absolute;left:3425;top:6353;height:905;width:1;" filled="f" stroked="t" coordsize="21600,21600" o:gfxdata="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0dEi5AAAA2g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shape>
                <v:shape id="Straight Connector 432" o:spid="_x0000_s1026" o:spt="32" type="#_x0000_t32" style="position:absolute;left:1605;top:3556;height:1391;width:0;"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Straight Connector 433" o:spid="_x0000_s1026" o:spt="32" type="#_x0000_t32" style="position:absolute;left:1605;top:4947;height:0;width:822;" filled="f" stroked="t" coordsize="21600,21600" o:gfxdata="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zp+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Flowchart: Decision 434" o:spid="_x0000_s1026" o:spt="110" type="#_x0000_t110" style="position:absolute;left:0;top:1997;height:1889;width:3274;" fillcolor="#FFFFFF" filled="t" stroked="t" coordsize="21600,21600" o:gfxdata="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bdxL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接件并当场（或5个工作日）作出是否受理决定</w:t>
                        </w:r>
                      </w:p>
                      <w:p/>
                    </w:txbxContent>
                  </v:textbox>
                </v:shape>
                <v:rect id="Rectangle 435" o:spid="_x0000_s1026" o:spt="1" style="position:absolute;left:6265;top:1200;height:796;width:2094;"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申请人补全材料</w:t>
                        </w:r>
                      </w:p>
                      <w:p/>
                    </w:txbxContent>
                  </v:textbox>
                </v:rect>
                <v:rect id="Rectangle 436" o:spid="_x0000_s1026" o:spt="1" style="position:absolute;left:3832;top:2267;height:500;width:5362;"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材料不全或不符合法定形式的，一次性告知补正材料</w:t>
                        </w:r>
                      </w:p>
                      <w:p/>
                    </w:txbxContent>
                  </v:textbox>
                </v:rect>
                <v:rect id="Rectangle 437" o:spid="_x0000_s1026" o:spt="1" style="position:absolute;left:3832;top:3119;height:906;width:5362;"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依法不予受理的，作出不予受理决定，出具不予受理通知书</w:t>
                        </w:r>
                      </w:p>
                      <w:p/>
                    </w:txbxContent>
                  </v:textbox>
                </v:rect>
                <v:rect id="Rectangle 438" o:spid="_x0000_s1026" o:spt="1" style="position:absolute;left:2426;top:4779;height:603;width:4104;"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依法应予受理，出具受理单</w:t>
                        </w:r>
                      </w:p>
                      <w:p/>
                    </w:txbxContent>
                  </v:textbox>
                </v:rect>
                <v:rect id="Rectangle 439" o:spid="_x0000_s1026" o:spt="1" style="position:absolute;left:2427;top:5819;height:534;width:4252;" fillcolor="#FFFFFF" filled="t" stroked="t" coordsize="21600,21600"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审查报批</w:t>
                        </w:r>
                      </w:p>
                      <w:p/>
                    </w:txbxContent>
                  </v:textbox>
                </v:rect>
                <v:rect id="Rectangle 440" o:spid="_x0000_s1026" o:spt="1" style="position:absolute;left:764;top:0;height:1423;width:2894;" fillcolor="#FFFFFF" filled="t" stroked="t"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441" o:spid="_x0000_s1026" o:spt="1" style="position:absolute;left:2426;top:7258;height:1172;width:1747;"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予以许可，向申请人出具正式公文或备案表</w:t>
                        </w:r>
                      </w:p>
                      <w:p/>
                    </w:txbxContent>
                  </v:textbox>
                </v:rect>
                <v:rect id="Rectangle 442" o:spid="_x0000_s1026" o:spt="1" style="position:absolute;left:4783;top:7258;height:1172;width:1747;"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依法作出不予许可决定，并送达</w:t>
                        </w:r>
                      </w:p>
                      <w:p/>
                    </w:txbxContent>
                  </v:textbox>
                </v:rect>
              </v:group>
            </w:pict>
          </mc:Fallback>
        </mc:AlternateContent>
      </w:r>
    </w:p>
    <w:sectPr>
      <w:footerReference r:id="rId5" w:type="default"/>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B6F6F8D"/>
    <w:rsid w:val="7F1F1D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1" w:name="caption"/>
    <w:lsdException w:uiPriority="0" w:name="table of figures"/>
    <w:lsdException w:uiPriority="0" w:name="envelope address"/>
    <w:lsdException w:uiPriority="0" w:name="envelope return"/>
    <w:lsdException w:qFormat="1" w:uiPriority="0"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 w:semiHidden="0" w:name="Title"/>
    <w:lsdException w:uiPriority="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1" w:semiHidden="0" w:name="Strong"/>
    <w:lsdException w:qFormat="1" w:unhideWhenUsed="0" w:uiPriority="1"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unhideWhenUsed/>
    <w:uiPriority w:val="1"/>
  </w:style>
  <w:style w:type="table" w:default="1" w:styleId="14">
    <w:name w:val="Normal Table"/>
    <w:unhideWhenUsed/>
    <w:uiPriority w:val="99"/>
    <w:tblPr>
      <w:tblCellMar>
        <w:top w:w="0" w:type="dxa"/>
        <w:left w:w="108" w:type="dxa"/>
        <w:bottom w:w="0" w:type="dxa"/>
        <w:right w:w="108" w:type="dxa"/>
      </w:tblCellMar>
    </w:tblPr>
  </w:style>
  <w:style w:type="paragraph" w:styleId="5">
    <w:name w:val="Document Map"/>
    <w:basedOn w:val="1"/>
    <w:link w:val="23"/>
    <w:unhideWhenUsed/>
    <w:qFormat/>
    <w:uiPriority w:val="0"/>
    <w:rPr>
      <w:rFonts w:ascii="宋体"/>
      <w:sz w:val="18"/>
      <w:szCs w:val="18"/>
    </w:rPr>
  </w:style>
  <w:style w:type="paragraph" w:styleId="6">
    <w:name w:val="annotation text"/>
    <w:basedOn w:val="1"/>
    <w:link w:val="30"/>
    <w:unhideWhenUsed/>
    <w:qFormat/>
    <w:uiPriority w:val="99"/>
    <w:pPr>
      <w:jc w:val="left"/>
    </w:pPr>
    <w:rPr>
      <w:rFonts w:cs="Times New Roman"/>
    </w:rPr>
  </w:style>
  <w:style w:type="paragraph" w:styleId="7">
    <w:name w:val="Body Text"/>
    <w:basedOn w:val="1"/>
    <w:link w:val="28"/>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9"/>
    <w:unhideWhenUsed/>
    <w:uiPriority w:val="0"/>
    <w:rPr>
      <w:sz w:val="18"/>
      <w:szCs w:val="18"/>
    </w:rPr>
  </w:style>
  <w:style w:type="paragraph" w:styleId="9">
    <w:name w:val="footer"/>
    <w:basedOn w:val="1"/>
    <w:link w:val="21"/>
    <w:unhideWhenUsed/>
    <w:uiPriority w:val="99"/>
    <w:pPr>
      <w:tabs>
        <w:tab w:val="center" w:pos="4153"/>
        <w:tab w:val="right" w:pos="8306"/>
      </w:tabs>
      <w:snapToGrid w:val="0"/>
      <w:jc w:val="left"/>
    </w:pPr>
    <w:rPr>
      <w:sz w:val="18"/>
      <w:szCs w:val="18"/>
    </w:rPr>
  </w:style>
  <w:style w:type="paragraph" w:styleId="10">
    <w:name w:val="header"/>
    <w:basedOn w:val="1"/>
    <w:link w:val="31"/>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0"/>
    <w:semiHidden/>
    <w:qFormat/>
    <w:uiPriority w:val="0"/>
    <w:pPr>
      <w:snapToGrid w:val="0"/>
      <w:jc w:val="left"/>
    </w:pPr>
    <w:rPr>
      <w:rFonts w:ascii="Times New Roman" w:hAnsi="Times New Roman"/>
      <w:sz w:val="18"/>
      <w:szCs w:val="18"/>
    </w:rPr>
  </w:style>
  <w:style w:type="paragraph" w:styleId="12">
    <w:name w:val="HTML Preformatted"/>
    <w:basedOn w:val="1"/>
    <w:link w:val="2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character" w:customStyle="1" w:styleId="20">
    <w:name w:val="脚注文本 Char1"/>
    <w:basedOn w:val="16"/>
    <w:link w:val="11"/>
    <w:semiHidden/>
    <w:qFormat/>
    <w:uiPriority w:val="0"/>
    <w:rPr>
      <w:rFonts w:ascii="Times New Roman" w:hAnsi="Times New Roman"/>
      <w:sz w:val="18"/>
      <w:szCs w:val="18"/>
    </w:rPr>
  </w:style>
  <w:style w:type="character" w:customStyle="1" w:styleId="21">
    <w:name w:val="页脚 Char"/>
    <w:basedOn w:val="16"/>
    <w:link w:val="9"/>
    <w:uiPriority w:val="99"/>
    <w:rPr>
      <w:sz w:val="18"/>
      <w:szCs w:val="18"/>
    </w:rPr>
  </w:style>
  <w:style w:type="character" w:customStyle="1" w:styleId="22">
    <w:name w:val="HTML 预设格式 Char"/>
    <w:basedOn w:val="16"/>
    <w:link w:val="12"/>
    <w:uiPriority w:val="99"/>
    <w:rPr>
      <w:rFonts w:ascii="宋体" w:hAnsi="宋体" w:eastAsia="宋体" w:cs="宋体"/>
      <w:kern w:val="0"/>
      <w:sz w:val="24"/>
      <w:szCs w:val="24"/>
    </w:rPr>
  </w:style>
  <w:style w:type="character" w:customStyle="1" w:styleId="23">
    <w:name w:val="文档结构图 Char"/>
    <w:basedOn w:val="16"/>
    <w:link w:val="5"/>
    <w:qFormat/>
    <w:uiPriority w:val="0"/>
    <w:rPr>
      <w:rFonts w:ascii="宋体"/>
      <w:sz w:val="18"/>
      <w:szCs w:val="18"/>
    </w:rPr>
  </w:style>
  <w:style w:type="character" w:customStyle="1" w:styleId="24">
    <w:name w:val="标题 1 Char"/>
    <w:basedOn w:val="16"/>
    <w:link w:val="2"/>
    <w:qFormat/>
    <w:uiPriority w:val="9"/>
    <w:rPr>
      <w:rFonts w:ascii="黑体" w:hAnsi="黑体" w:eastAsia="黑体" w:cs="宋体"/>
      <w:color w:val="000000"/>
      <w:kern w:val="0"/>
      <w:sz w:val="30"/>
      <w:szCs w:val="30"/>
    </w:rPr>
  </w:style>
  <w:style w:type="character" w:customStyle="1" w:styleId="25">
    <w:name w:val="明显强调1"/>
    <w:basedOn w:val="16"/>
    <w:qFormat/>
    <w:uiPriority w:val="21"/>
    <w:rPr>
      <w:b/>
      <w:bCs/>
      <w:i/>
      <w:iCs/>
      <w:color w:val="4F81BD"/>
    </w:rPr>
  </w:style>
  <w:style w:type="character" w:customStyle="1" w:styleId="26">
    <w:name w:val="标题 2 Char"/>
    <w:basedOn w:val="16"/>
    <w:link w:val="3"/>
    <w:qFormat/>
    <w:uiPriority w:val="0"/>
    <w:rPr>
      <w:rFonts w:ascii="Cambria" w:hAnsi="Cambria" w:eastAsia="宋体" w:cs="Times New Roman"/>
      <w:b/>
      <w:bCs/>
      <w:sz w:val="32"/>
      <w:szCs w:val="32"/>
    </w:rPr>
  </w:style>
  <w:style w:type="character" w:customStyle="1" w:styleId="27">
    <w:name w:val="文档结构图 Char1"/>
    <w:basedOn w:val="16"/>
    <w:semiHidden/>
    <w:qFormat/>
    <w:uiPriority w:val="99"/>
    <w:rPr>
      <w:rFonts w:ascii="宋体" w:eastAsia="宋体"/>
      <w:sz w:val="18"/>
      <w:szCs w:val="18"/>
    </w:rPr>
  </w:style>
  <w:style w:type="character" w:customStyle="1" w:styleId="28">
    <w:name w:val="正文文本 Char"/>
    <w:basedOn w:val="16"/>
    <w:link w:val="7"/>
    <w:qFormat/>
    <w:uiPriority w:val="1"/>
    <w:rPr>
      <w:rFonts w:ascii="仿宋_GB2312" w:hAnsi="仿宋_GB2312" w:eastAsia="仿宋_GB2312" w:cs="Times New Roman"/>
      <w:kern w:val="0"/>
      <w:sz w:val="30"/>
      <w:szCs w:val="30"/>
      <w:lang w:eastAsia="en-US"/>
    </w:rPr>
  </w:style>
  <w:style w:type="character" w:customStyle="1" w:styleId="29">
    <w:name w:val="批注框文本 Char"/>
    <w:basedOn w:val="16"/>
    <w:link w:val="8"/>
    <w:semiHidden/>
    <w:uiPriority w:val="0"/>
    <w:rPr>
      <w:sz w:val="18"/>
      <w:szCs w:val="18"/>
    </w:rPr>
  </w:style>
  <w:style w:type="character" w:customStyle="1" w:styleId="30">
    <w:name w:val="批注文字 Char"/>
    <w:basedOn w:val="16"/>
    <w:link w:val="6"/>
    <w:semiHidden/>
    <w:qFormat/>
    <w:uiPriority w:val="0"/>
    <w:rPr>
      <w:rFonts w:ascii="Calibri" w:hAnsi="Calibri" w:eastAsia="宋体" w:cs="Times New Roman"/>
    </w:rPr>
  </w:style>
  <w:style w:type="character" w:customStyle="1" w:styleId="31">
    <w:name w:val="页眉 Char"/>
    <w:basedOn w:val="16"/>
    <w:link w:val="10"/>
    <w:uiPriority w:val="99"/>
    <w:rPr>
      <w:sz w:val="18"/>
      <w:szCs w:val="18"/>
    </w:rPr>
  </w:style>
  <w:style w:type="character" w:customStyle="1" w:styleId="32">
    <w:name w:val="标题 4 Char Char"/>
    <w:qFormat/>
    <w:uiPriority w:val="0"/>
    <w:rPr>
      <w:rFonts w:ascii="Calibri" w:hAnsi="Calibri"/>
      <w:b/>
      <w:bCs/>
      <w:sz w:val="28"/>
      <w:szCs w:val="28"/>
      <w:lang w:eastAsia="en-US" w:bidi="en-US"/>
    </w:rPr>
  </w:style>
  <w:style w:type="character" w:customStyle="1" w:styleId="33">
    <w:name w:val="脚注文本 Char2"/>
    <w:basedOn w:val="16"/>
    <w:semiHidden/>
    <w:qFormat/>
    <w:uiPriority w:val="99"/>
    <w:rPr>
      <w:sz w:val="18"/>
      <w:szCs w:val="18"/>
    </w:rPr>
  </w:style>
  <w:style w:type="character" w:customStyle="1" w:styleId="34">
    <w:name w:val="脚注文本 Char"/>
    <w:basedOn w:val="16"/>
    <w:semiHidden/>
    <w:qFormat/>
    <w:uiPriority w:val="99"/>
    <w:rPr>
      <w:kern w:val="2"/>
      <w:sz w:val="18"/>
      <w:szCs w:val="18"/>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批注文字 Char1"/>
    <w:basedOn w:val="16"/>
    <w:semiHidden/>
    <w:qFormat/>
    <w:uiPriority w:val="99"/>
    <w:rPr>
      <w:kern w:val="2"/>
      <w:sz w:val="21"/>
      <w:szCs w:val="22"/>
    </w:rPr>
  </w:style>
  <w:style w:type="paragraph" w:customStyle="1" w:styleId="37">
    <w:name w:val="列出段落11"/>
    <w:basedOn w:val="1"/>
    <w:qFormat/>
    <w:uiPriority w:val="34"/>
    <w:pPr>
      <w:ind w:firstLine="420" w:firstLineChars="200"/>
    </w:pPr>
    <w:rPr>
      <w:rFonts w:cs="Times New Roman"/>
    </w:rPr>
  </w:style>
  <w:style w:type="paragraph" w:customStyle="1" w:styleId="38">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9">
    <w:name w:val="列出段落4"/>
    <w:basedOn w:val="1"/>
    <w:qFormat/>
    <w:uiPriority w:val="0"/>
    <w:pPr>
      <w:ind w:firstLine="200" w:firstLineChars="200"/>
    </w:pPr>
    <w:rPr>
      <w:rFonts w:cs="Times New Roman"/>
    </w:rPr>
  </w:style>
  <w:style w:type="paragraph" w:customStyle="1" w:styleId="40">
    <w:name w:val="修订1"/>
    <w:semiHidden/>
    <w:qFormat/>
    <w:uiPriority w:val="99"/>
    <w:rPr>
      <w:rFonts w:ascii="Calibri" w:hAnsi="Calibri" w:eastAsia="宋体" w:cs="黑体"/>
      <w:kern w:val="2"/>
      <w:sz w:val="21"/>
      <w:szCs w:val="22"/>
      <w:lang w:val="en-US" w:eastAsia="zh-CN" w:bidi="ar-SA"/>
    </w:rPr>
  </w:style>
  <w:style w:type="paragraph" w:customStyle="1" w:styleId="41">
    <w:name w:val="列出段落1"/>
    <w:basedOn w:val="1"/>
    <w:qFormat/>
    <w:uiPriority w:val="34"/>
    <w:pPr>
      <w:ind w:firstLine="420" w:firstLineChars="200"/>
    </w:pPr>
  </w:style>
  <w:style w:type="paragraph" w:customStyle="1" w:styleId="4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3">
    <w:name w:val="p0"/>
    <w:basedOn w:val="1"/>
    <w:qFormat/>
    <w:uiPriority w:val="0"/>
    <w:pPr>
      <w:widowControl/>
    </w:pPr>
    <w:rPr>
      <w:rFonts w:cs="宋体"/>
      <w:kern w:val="0"/>
      <w:szCs w:val="21"/>
    </w:rPr>
  </w:style>
  <w:style w:type="paragraph" w:customStyle="1" w:styleId="44">
    <w:name w:val="列出段落3"/>
    <w:basedOn w:val="1"/>
    <w:qFormat/>
    <w:uiPriority w:val="0"/>
    <w:pPr>
      <w:ind w:firstLine="420" w:firstLineChars="200"/>
    </w:pPr>
    <w:rPr>
      <w:rFonts w:ascii="Times New Roman" w:hAnsi="Times New Roman"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377</Words>
  <Characters>2152</Characters>
  <Lines>17</Lines>
  <Paragraphs>5</Paragraphs>
  <TotalTime>18</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杨灵秀</cp:lastModifiedBy>
  <cp:lastPrinted>2017-11-24T00:22:00Z</cp:lastPrinted>
  <dcterms:modified xsi:type="dcterms:W3CDTF">2023-08-30T09:32:30Z</dcterms:modified>
  <dc:title>编号：57013               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189AA32011A9A8609D9E7661B193ADFD</vt:lpwstr>
  </property>
</Properties>
</file>