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向所在地国家外汇管理局分局（外汇管理部）申请，如处于市（地、州、区）、县，应向所在地国家外汇管理局中心支局或支局申请，并逐级上报至国家外汇管理局分局（外汇管理部）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申请人所在地国家外汇管理局分局（外汇管理部）。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textDirection w:val="lrTb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、国家外汇管理局政务服务网上办理系统（http://zwfw.safe.gov.cn/asone</w:t>
      </w:r>
      <w:r>
        <w:rPr>
          <w:rFonts w:ascii="Times New Roman" w:hAnsi="Times New Roman" w:eastAsia="仿宋_GB2312" w:cs="Times New Roman"/>
          <w:sz w:val="30"/>
          <w:szCs w:val="30"/>
        </w:rPr>
        <w:t>/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宁夏回族自治区分局</w:t>
      </w:r>
      <w:r>
        <w:rPr>
          <w:rFonts w:ascii="Times New Roman" w:hAnsi="Times New Roman" w:eastAsia="仿宋_GB2312" w:cs="Times New Roman"/>
          <w:sz w:val="30"/>
          <w:szCs w:val="30"/>
        </w:rPr>
        <w:t>办公地址：宁夏回族自治区银川市兴庆区北京东路215号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ascii="Times New Roman" w:hAnsi="Times New Roman" w:eastAsia="仿宋_GB2312" w:cs="Times New Roman"/>
          <w:sz w:val="30"/>
          <w:szCs w:val="30"/>
        </w:rPr>
        <w:t>邮政编码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750001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国家外汇局管理局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办公时间：周一至周五，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夏季上午08:30到12:00,下午14:30到18:00；冬季上午08:30到12:00,下午14:00到17:30；周六、周日及法定节假日不对外办理业务。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乘车路线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：</w:t>
      </w:r>
      <w:r>
        <w:rPr>
          <w:rFonts w:ascii="Times New Roman" w:hAnsi="Times New Roman" w:eastAsia="仿宋_GB2312" w:cs="Times New Roman"/>
          <w:sz w:val="30"/>
          <w:szCs w:val="30"/>
        </w:rPr>
        <w:t>公交车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101、101A、19、18路公交线路经停，可在临湖小区站上/下车。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电话、网址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</w:t>
      </w:r>
      <w:r>
        <w:rPr>
          <w:rFonts w:ascii="Times New Roman" w:hAnsi="Times New Roman" w:eastAsia="仿宋_GB2312" w:cs="Times New Roman"/>
          <w:sz w:val="30"/>
          <w:szCs w:val="30"/>
        </w:rPr>
        <w:t>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0951-5189347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向国家外汇管理局咨询、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电话、电子邮件、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国家外汇管理局官方互联网站公众交流栏目进行。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电话：010-68402271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电子邮箱：fxmarket@mail.safe.gov.cn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网址：www.safe.gov.cn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分局</w:t>
      </w:r>
      <w:r>
        <w:rPr>
          <w:rFonts w:ascii="Times New Roman" w:hAnsi="Times New Roman" w:eastAsia="仿宋_GB2312" w:cs="Times New Roman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宁夏分局</w:t>
      </w:r>
      <w:r>
        <w:rPr>
          <w:rFonts w:ascii="Times New Roman" w:hAnsi="Times New Roman" w:eastAsia="仿宋_GB2312" w:cs="Times New Roman"/>
          <w:sz w:val="30"/>
          <w:szCs w:val="30"/>
        </w:rPr>
        <w:t>官方互联网</w:t>
      </w:r>
      <w:bookmarkStart w:id="0" w:name="_GoBack"/>
      <w:bookmarkEnd w:id="0"/>
      <w:r>
        <w:rPr>
          <w:rFonts w:ascii="Times New Roman" w:hAnsi="Times New Roman" w:eastAsia="仿宋_GB2312" w:cs="Times New Roman"/>
          <w:sz w:val="30"/>
          <w:szCs w:val="30"/>
        </w:rPr>
        <w:t>站的相应栏目进行。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电话：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0951-5189505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网址：</w:t>
      </w:r>
      <w:r>
        <w:rPr>
          <w:rFonts w:ascii="Times New Roman" w:hAnsi="Times New Roman" w:eastAsia="仿宋_GB2312" w:cs="Times New Roman"/>
          <w:sz w:val="30"/>
          <w:szCs w:val="30"/>
        </w:rPr>
        <w:t>国家</w:t>
      </w:r>
      <w:r>
        <w:rPr>
          <w:rFonts w:ascii="Times New Roman" w:hAnsi="Times New Roman" w:eastAsia="仿宋_GB2312" w:cs="Times New Roman"/>
          <w:sz w:val="30"/>
          <w:szCs w:val="30"/>
          <w:lang w:val="zh-CN" w:bidi="zh-CN"/>
        </w:rPr>
        <w:t>外汇管理局官方互联网站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zh-CN" w:bidi="zh-CN"/>
        </w:rPr>
        <w:t>链接至宁夏分局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Straight Connector 493" o:spid="_x0000_s1028" type="#_x0000_t32" style="position:absolute;left:5392;top:8652;height:437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4" o:spid="_x0000_s1029" type="#_x0000_t32" style="position:absolute;left:6547;top:9623;height:905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5" o:spid="_x0000_s1030" type="#_x0000_t32" style="position:absolute;left:4432;top:9623;height:905;width:1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496" o:spid="_x0000_s1031" type="#_x0000_t32" style="position:absolute;left:2612;top:6826;height:1391;width:0;rotation:0f;" o:ole="f" fillcolor="#FFFFFF" filled="f" o:preferrelative="t" stroked="t" coordorigin="0,0" coordsize="21600,21600">
              <v:fill on="f" color2="#FFFFFF" focus="0%"/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Straight Connector 497" o:spid="_x0000_s1032" type="#_x0000_t32" style="position:absolute;left:2612;top:8217;height:0;width:82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Rectangle 498" o:spid="_x0000_s1033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Rectangle 499" o:spid="_x0000_s1034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Rectangle 500" o:spid="_x0000_s1035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Rectangle 501" o:spid="_x0000_s1036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Rectangle 502" o:spid="_x0000_s1037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Straight Connector 503" o:spid="_x0000_s1038" type="#_x0000_t32" style="position:absolute;left:2612;top:4693;height:1468;width:17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4" o:spid="_x0000_s1039" type="#_x0000_t32" style="position:absolute;left:3570;top:5789;height:1;width:1269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5" o:spid="_x0000_s1040" type="#_x0000_t32" style="position:absolute;left:3667;top:6593;height:0;width:1172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6" o:spid="_x0000_s1041" type="#_x0000_t32" style="position:absolute;left:8191;top:5266;flip:y;height:271;width:0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Straight Connector 507" o:spid="_x0000_s1042" type="#_x0000_t32" style="position:absolute;left:2629;top:4981;flip:x;height:1;width:4643;rotation:0f;" o:ole="f" fillcolor="#FFFFFF" filled="f" o:preferrelative="t" stroked="t" coordorigin="0,0" coordsize="21600,21600">
              <v:fill on="f" color2="#FFFFFF" focus="0%"/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Flowchart: Decision 508" o:spid="_x0000_s1043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Rectangle 509" o:spid="_x0000_s1044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Rectangle 510" o:spid="_x0000_s1045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1" o:spid="_x0000_s1046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90" o:spid="_x0000_s1047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488" o:spid="_x0000_s1048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2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9"/>
    <w:unhideWhenUsed/>
    <w:uiPriority w:val="0"/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qFormat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 Char"/>
    <w:basedOn w:val="13"/>
    <w:link w:val="10"/>
    <w:uiPriority w:val="99"/>
    <w:rPr>
      <w:sz w:val="18"/>
      <w:szCs w:val="18"/>
    </w:rPr>
  </w:style>
  <w:style w:type="character" w:customStyle="1" w:styleId="28">
    <w:name w:val="页脚 Char Char"/>
    <w:basedOn w:val="13"/>
    <w:link w:val="9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2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395</Words>
  <Characters>2253</Characters>
  <Lines>18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刘江山/科技处/银川/PBC</cp:lastModifiedBy>
  <cp:lastPrinted>2020-05-08T01:02:00Z</cp:lastPrinted>
  <dcterms:modified xsi:type="dcterms:W3CDTF">2021-08-12T01:06:41Z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