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Times New Roman" w:hAnsi="Times New Roman" w:eastAsia="仿宋_GB2312" w:cs="Times New Roman"/>
          <w:sz w:val="30"/>
          <w:szCs w:val="30"/>
          <w:lang w:eastAsia="zh-CN"/>
        </w:rPr>
      </w:pPr>
    </w:p>
    <w:p>
      <w:pPr>
        <w:rPr>
          <w:rFonts w:ascii="Times New Roman" w:hAnsi="Times New Roman" w:eastAsia="仿宋_GB2312" w:cs="Times New Roman"/>
          <w:sz w:val="30"/>
          <w:szCs w:val="30"/>
        </w:rPr>
      </w:pPr>
    </w:p>
    <w:p>
      <w:pPr>
        <w:rPr>
          <w:rFonts w:ascii="Times New Roman" w:hAnsi="Times New Roman" w:eastAsia="黑体" w:cs="Times New Roman"/>
          <w:sz w:val="48"/>
          <w:szCs w:val="48"/>
        </w:rPr>
      </w:pPr>
      <w:r>
        <w:rPr>
          <w:rFonts w:ascii="Times New Roman" w:hAnsi="Times New Roman" w:eastAsia="黑体" w:cs="Times New Roman"/>
          <w:sz w:val="48"/>
          <w:szCs w:val="48"/>
        </w:rPr>
        <w:t>编号：57006</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框 1025" o:spid="_x0000_s1026" type="#_x0000_t75" style="height:69.75pt;width:87.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“境内机构外债、对外或有负债</w:t>
      </w:r>
      <w:r>
        <w:rPr>
          <w:rFonts w:hint="eastAsia" w:ascii="Times New Roman" w:hAnsi="Times New Roman" w:eastAsia="黑体" w:cs="Times New Roman"/>
          <w:sz w:val="52"/>
          <w:szCs w:val="52"/>
        </w:rPr>
        <w:t>、外债转贷款</w:t>
      </w:r>
      <w:r>
        <w:rPr>
          <w:rFonts w:ascii="Times New Roman" w:hAnsi="Times New Roman" w:eastAsia="黑体" w:cs="Times New Roman"/>
          <w:sz w:val="52"/>
          <w:szCs w:val="52"/>
        </w:rPr>
        <w:t xml:space="preserve">审批、登记及履约核准” </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宁夏回族自治区分局</w:t>
      </w:r>
    </w:p>
    <w:p>
      <w:pPr>
        <w:ind w:right="300"/>
        <w:rPr>
          <w:rFonts w:ascii="Times New Roman" w:hAnsi="Times New Roman" w:eastAsia="仿宋_GB2312" w:cs="Times New Roman"/>
          <w:sz w:val="30"/>
          <w:szCs w:val="30"/>
        </w:rPr>
      </w:pPr>
    </w:p>
    <w:p>
      <w:pPr>
        <w:pStyle w:val="19"/>
        <w:adjustRightInd w:val="0"/>
        <w:snapToGrid w:val="0"/>
        <w:spacing w:line="360" w:lineRule="auto"/>
        <w:ind w:firstLine="0" w:firstLineChars="0"/>
        <w:outlineLvl w:val="0"/>
        <w:rPr>
          <w:rFonts w:ascii="Times New Roman" w:hAnsi="Times New Roman" w:eastAsia="黑体"/>
          <w:sz w:val="30"/>
          <w:szCs w:val="30"/>
        </w:rPr>
      </w:pPr>
      <w:r>
        <w:rPr>
          <w:rFonts w:ascii="Times New Roman" w:hAnsi="Times New Roman" w:eastAsia="黑体"/>
          <w:sz w:val="30"/>
          <w:szCs w:val="30"/>
        </w:rPr>
        <w:t xml:space="preserve">    一、项目信息</w:t>
      </w:r>
    </w:p>
    <w:p>
      <w:pPr>
        <w:pStyle w:val="19"/>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项目名称：境内机构外债、对外或有负债</w:t>
      </w:r>
      <w:r>
        <w:rPr>
          <w:rFonts w:hint="eastAsia" w:ascii="Times New Roman" w:hAnsi="Times New Roman" w:eastAsia="仿宋_GB2312"/>
          <w:sz w:val="30"/>
          <w:szCs w:val="30"/>
        </w:rPr>
        <w:t>、外债转贷款</w:t>
      </w:r>
      <w:r>
        <w:rPr>
          <w:rFonts w:ascii="Times New Roman" w:hAnsi="Times New Roman" w:eastAsia="仿宋_GB2312"/>
          <w:sz w:val="30"/>
          <w:szCs w:val="30"/>
        </w:rPr>
        <w:t>审批、登记及履约核准；</w:t>
      </w:r>
    </w:p>
    <w:p>
      <w:pPr>
        <w:pStyle w:val="19"/>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项目编号：57006；</w:t>
      </w:r>
    </w:p>
    <w:p>
      <w:pPr>
        <w:pStyle w:val="19"/>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审批类别：行政许可；</w:t>
      </w:r>
    </w:p>
    <w:p>
      <w:pPr>
        <w:pStyle w:val="19"/>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审查类型：前审后批。</w:t>
      </w:r>
    </w:p>
    <w:p>
      <w:pPr>
        <w:numPr>
          <w:ilvl w:val="0"/>
          <w:numId w:val="1"/>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适用范围</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仿宋_GB2312" w:cs="Times New Roman"/>
          <w:sz w:val="30"/>
          <w:szCs w:val="30"/>
        </w:rPr>
        <w:t xml:space="preserve">    本指南适用于“境内机构外债、对外或有负债</w:t>
      </w:r>
      <w:r>
        <w:rPr>
          <w:rFonts w:hint="eastAsia" w:ascii="Times New Roman" w:hAnsi="Times New Roman" w:eastAsia="仿宋_GB2312" w:cs="Times New Roman"/>
          <w:sz w:val="30"/>
          <w:szCs w:val="30"/>
        </w:rPr>
        <w:t>、外债转贷款</w:t>
      </w:r>
      <w:r>
        <w:rPr>
          <w:rFonts w:ascii="Times New Roman" w:hAnsi="Times New Roman" w:eastAsia="仿宋_GB2312" w:cs="Times New Roman"/>
          <w:sz w:val="30"/>
          <w:szCs w:val="30"/>
        </w:rPr>
        <w:t>审批、登记及履约核准”的申请和办理。</w:t>
      </w:r>
    </w:p>
    <w:p>
      <w:pPr>
        <w:numPr>
          <w:ilvl w:val="0"/>
          <w:numId w:val="2"/>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（一）《中华人民共和国外汇管理条例》（国务院令第532号）第十八条：“国家对外债实行规模管理。借用外债应当按照国家有关规定办理，并到外汇管理机关办理外债登记”；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九条：“提供对外担保，应当向外汇管理机关提出申请，由外汇管理机关根据申请人的资产负债等情况作出批准或者不批准的决定。申请人签订对外担保合同后，应到外汇管理机关办理对外担保登记。经国务院批准为使用外国政府或者国际金融组织贷款进行转贷提供对外担保的除外。国家规定境内机构的经营范围需经有关主管部门批准的，应当在向外汇管理机关提出申请前办理批准手续”；</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（三）《国务院对确需保留的行政审批项目设定行政许可的决定》（国务院令第412号）附件第471项“境内机构外债、外债转贷款、对外担保履约核准”；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（四）《国务院对确需保留的行政审批项目设定行政许可的决定》（国务院令第412号）附件第485项“境内外资金融机构短期外债核准”；</w:t>
      </w:r>
    </w:p>
    <w:p>
      <w:pPr>
        <w:adjustRightInd w:val="0"/>
        <w:snapToGrid w:val="0"/>
        <w:spacing w:line="360" w:lineRule="auto"/>
        <w:ind w:firstLine="585"/>
        <w:rPr>
          <w:rFonts w:ascii="Times New Roman" w:hAnsi="Times New Roman" w:cs="Times New Roman"/>
        </w:rPr>
      </w:pPr>
      <w:r>
        <w:rPr>
          <w:rFonts w:ascii="Times New Roman" w:hAnsi="Times New Roman" w:eastAsia="仿宋_GB2312" w:cs="Times New Roman"/>
          <w:sz w:val="30"/>
          <w:szCs w:val="30"/>
        </w:rPr>
        <w:t>（五）《外债管理暂行办法》（国家发展计划委员会、财政部、国家外汇管理局令第28号）第十六条：“国家对境内中资机构举借短期国际商业贷款实行余额管理，余额由国家外汇管理局核定”。</w:t>
      </w:r>
    </w:p>
    <w:p>
      <w:pPr>
        <w:pStyle w:val="2"/>
        <w:adjustRightInd w:val="0"/>
        <w:snapToGrid w:val="0"/>
        <w:spacing w:line="360" w:lineRule="auto"/>
        <w:rPr>
          <w:rFonts w:ascii="Times New Roman" w:hAnsi="Times New Roman" w:cs="Times New Roman"/>
          <w:color w:val="auto"/>
        </w:rPr>
      </w:pPr>
      <w:r>
        <w:rPr>
          <w:rFonts w:ascii="Times New Roman" w:cs="Times New Roman"/>
          <w:color w:val="auto"/>
        </w:rPr>
        <w:t>四、外保内贷履约外债登记</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2.《国家外汇管理局关于发布〈外债登记管理办法〉的通知》（汇发〔2013〕19号）。</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3.《国家外汇管理局关于发布〈跨境担保外汇管理规定〉的通知》（汇发〔2014〕29号）。</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申请人所在地外汇局。</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申请人所在地外汇局。</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无数量限制，按全口径跨境融资宏观审慎或“投注差”模式管理。</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widowControl/>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外保内贷业务发生境外担保履约的，境内债务人应在担保履约后15个工作日内到所在地外汇局办理短期外债签约登记及相关信息备案。外汇局在外债签约登记环节对债务人外保内贷业务的合规性进行事后核查。发现违规的，在将违规行为移交外汇检查部门后，外汇局可为其办理外债登记手续。</w:t>
      </w:r>
    </w:p>
    <w:p>
      <w:pPr>
        <w:widowControl/>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禁止性要求：如符合上述条件，不存在不予许可的情况。</w:t>
      </w:r>
    </w:p>
    <w:p>
      <w:pPr>
        <w:adjustRightIn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widowControl/>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1.外保内贷履约外债登记申请材料</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475"/>
        <w:gridCol w:w="952"/>
        <w:gridCol w:w="457"/>
        <w:gridCol w:w="844"/>
        <w:gridCol w:w="565"/>
        <w:gridCol w:w="696"/>
      </w:tblGrid>
      <w:tr>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47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5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4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696"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rPr>
          <w:trHeight w:val="1035"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47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5"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696" w:type="dxa"/>
            <w:vAlign w:val="center"/>
          </w:tcPr>
          <w:p>
            <w:pPr>
              <w:jc w:val="left"/>
              <w:rPr>
                <w:rFonts w:ascii="Times New Roman" w:hAnsi="Times New Roman" w:eastAsia="仿宋_GB2312" w:cs="Times New Roman"/>
                <w:sz w:val="24"/>
                <w:szCs w:val="24"/>
              </w:rPr>
            </w:pPr>
          </w:p>
        </w:tc>
      </w:tr>
      <w:tr>
        <w:trPr>
          <w:trHeight w:val="378"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475" w:type="dxa"/>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rPr>
              <w:t>担保履约证明文件</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5" w:type="dxa"/>
            <w:vAlign w:val="center"/>
          </w:tcPr>
          <w:p>
            <w:pPr>
              <w:jc w:val="left"/>
              <w:rPr>
                <w:rFonts w:ascii="Times New Roman" w:hAnsi="Times New Roman" w:eastAsia="仿宋_GB2312" w:cs="Times New Roman"/>
                <w:sz w:val="24"/>
                <w:szCs w:val="24"/>
              </w:rPr>
            </w:pPr>
          </w:p>
        </w:tc>
        <w:tc>
          <w:tcPr>
            <w:tcW w:w="69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475" w:type="dxa"/>
            <w:vAlign w:val="center"/>
          </w:tcPr>
          <w:p>
            <w:pPr>
              <w:widowControl/>
              <w:jc w:val="left"/>
              <w:rPr>
                <w:rFonts w:ascii="Times New Roman" w:hAnsi="Times New Roman" w:eastAsia="仿宋_GB2312" w:cs="Times New Roman"/>
                <w:sz w:val="24"/>
                <w:szCs w:val="24"/>
              </w:rPr>
            </w:pPr>
            <w:r>
              <w:rPr>
                <w:rFonts w:ascii="Times New Roman" w:hAnsi="Times New Roman" w:eastAsia="仿宋_GB2312" w:cs="Times New Roman"/>
                <w:kern w:val="0"/>
                <w:sz w:val="24"/>
              </w:rPr>
              <w:t>最近一期经审计的财务报告。选择“投注差”模式借用外债的外商投资企业，还应提供外商投资企业批准证书或商务部业务系统统一平台打印的外商投资企业基本信息页面。</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5" w:type="dxa"/>
            <w:vAlign w:val="center"/>
          </w:tcPr>
          <w:p>
            <w:pPr>
              <w:jc w:val="left"/>
              <w:rPr>
                <w:rFonts w:ascii="Times New Roman" w:hAnsi="Times New Roman" w:eastAsia="仿宋_GB2312" w:cs="Times New Roman"/>
                <w:sz w:val="24"/>
                <w:szCs w:val="24"/>
              </w:rPr>
            </w:pPr>
          </w:p>
        </w:tc>
        <w:tc>
          <w:tcPr>
            <w:tcW w:w="69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adjustRightIn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申请人可通过所在地外汇局业务窗口提交材料。</w:t>
      </w:r>
    </w:p>
    <w:p>
      <w:pPr>
        <w:adjustRightIn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（十一）审批收费依据及标准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（十二）审批结果</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w:t>
      </w: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五）</w:t>
      </w:r>
      <w:r>
        <w:rPr>
          <w:rFonts w:ascii="Times New Roman" w:hAnsi="Times New Roman" w:eastAsia="黑体" w:cs="Times New Roman"/>
          <w:sz w:val="30"/>
          <w:szCs w:val="30"/>
        </w:rPr>
        <w:t>咨询途径</w:t>
      </w:r>
    </w:p>
    <w:p>
      <w:pPr>
        <w:adjustRightInd w:val="0"/>
        <w:snapToGrid w:val="0"/>
        <w:spacing w:line="360" w:lineRule="auto"/>
        <w:ind w:firstLine="585"/>
        <w:jc w:val="left"/>
        <w:outlineLvl w:val="0"/>
        <w:rPr>
          <w:rFonts w:ascii="Times New Roman" w:hAnsi="Times New Roman" w:eastAsia="仿宋_GB2312" w:cs="Times New Roman"/>
          <w:sz w:val="30"/>
          <w:szCs w:val="30"/>
          <w:lang w:val="en-US"/>
        </w:rPr>
      </w:pPr>
      <w:r>
        <w:rPr>
          <w:rFonts w:ascii="Times New Roman" w:hAnsi="Times New Roman" w:eastAsia="仿宋_GB2312" w:cs="Times New Roman"/>
          <w:sz w:val="30"/>
          <w:szCs w:val="30"/>
        </w:rPr>
        <w:t>（一）咨询窗口：国家外汇管理局</w:t>
      </w:r>
      <w:r>
        <w:rPr>
          <w:rFonts w:hint="eastAsia" w:ascii="Times New Roman" w:hAnsi="Times New Roman" w:eastAsia="仿宋_GB2312" w:cs="Times New Roman"/>
          <w:sz w:val="30"/>
          <w:szCs w:val="30"/>
          <w:lang w:eastAsia="zh-CN"/>
        </w:rPr>
        <w:t>宁夏回族自治区分局外汇处。</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（二）咨询电话：（0</w:t>
      </w:r>
      <w:r>
        <w:rPr>
          <w:rFonts w:hint="eastAsia" w:ascii="Times New Roman" w:hAnsi="Times New Roman" w:eastAsia="仿宋_GB2312" w:cs="Times New Roman"/>
          <w:sz w:val="30"/>
          <w:szCs w:val="30"/>
          <w:lang w:val="en-US" w:eastAsia="zh-CN"/>
        </w:rPr>
        <w:t>951</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5189608。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三</w:t>
      </w:r>
      <w:r>
        <w:rPr>
          <w:rFonts w:ascii="Times New Roman" w:hAnsi="Times New Roman" w:eastAsia="仿宋_GB2312" w:cs="Times New Roman"/>
          <w:sz w:val="30"/>
          <w:szCs w:val="30"/>
        </w:rPr>
        <w:t>）咨询信件邮寄地址：</w:t>
      </w:r>
      <w:r>
        <w:rPr>
          <w:rFonts w:hint="default" w:ascii="Times New Roman" w:hAnsi="Times New Roman" w:eastAsia="仿宋_GB2312" w:cs="Times New Roman"/>
          <w:sz w:val="30"/>
          <w:szCs w:val="30"/>
        </w:rPr>
        <w:t>宁夏回族自治区银川市兴庆区北京东路215号</w:t>
      </w:r>
      <w:r>
        <w:rPr>
          <w:rFonts w:hint="eastAsia" w:ascii="Times New Roman" w:hAnsi="Times New Roman" w:eastAsia="仿宋_GB2312" w:cs="Times New Roman"/>
          <w:sz w:val="30"/>
          <w:szCs w:val="30"/>
          <w:lang w:eastAsia="zh-CN"/>
        </w:rPr>
        <w:t>外汇管理处</w:t>
      </w:r>
      <w:r>
        <w:rPr>
          <w:rFonts w:ascii="Times New Roman" w:hAnsi="Times New Roman" w:eastAsia="仿宋_GB2312" w:cs="Times New Roman"/>
          <w:sz w:val="30"/>
          <w:szCs w:val="30"/>
        </w:rPr>
        <w:t>，邮政编码</w:t>
      </w:r>
      <w:r>
        <w:rPr>
          <w:rFonts w:hint="eastAsia" w:ascii="Times New Roman" w:hAnsi="Times New Roman" w:eastAsia="仿宋_GB2312" w:cs="Times New Roman"/>
          <w:sz w:val="30"/>
          <w:szCs w:val="30"/>
          <w:lang w:val="en-US" w:eastAsia="zh-CN"/>
        </w:rPr>
        <w:t>750001。</w:t>
      </w:r>
      <w:bookmarkStart w:id="0" w:name="_GoBack"/>
      <w:bookmarkEnd w:id="0"/>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黑体" w:cs="Times New Roman"/>
          <w:sz w:val="30"/>
          <w:szCs w:val="30"/>
          <w:lang w:eastAsia="zh-CN"/>
        </w:rPr>
        <w:t>（</w:t>
      </w: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六）</w:t>
      </w:r>
      <w:r>
        <w:rPr>
          <w:rFonts w:ascii="Times New Roman" w:hAnsi="Times New Roman" w:eastAsia="黑体" w:cs="Times New Roman"/>
          <w:sz w:val="30"/>
          <w:szCs w:val="30"/>
        </w:rPr>
        <w:t>监督和投诉渠道</w:t>
      </w:r>
    </w:p>
    <w:p>
      <w:pPr>
        <w:adjustRightInd w:val="0"/>
        <w:snapToGrid w:val="0"/>
        <w:spacing w:line="360" w:lineRule="auto"/>
        <w:ind w:firstLine="6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监督和投诉等可通过</w:t>
      </w:r>
      <w:r>
        <w:rPr>
          <w:rFonts w:ascii="Times New Roman" w:hAnsi="Times New Roman" w:eastAsia="仿宋_GB2312" w:cs="Times New Roman"/>
          <w:sz w:val="30"/>
          <w:szCs w:val="30"/>
        </w:rPr>
        <w:t>国家外汇管理局</w:t>
      </w:r>
      <w:r>
        <w:rPr>
          <w:rFonts w:hint="eastAsia" w:ascii="Times New Roman" w:hAnsi="Times New Roman" w:eastAsia="仿宋_GB2312" w:cs="Times New Roman"/>
          <w:sz w:val="30"/>
          <w:szCs w:val="30"/>
          <w:lang w:eastAsia="zh-CN"/>
        </w:rPr>
        <w:t>宁夏回族自治区分局</w:t>
      </w:r>
      <w:r>
        <w:rPr>
          <w:rFonts w:hint="eastAsia" w:ascii="Times New Roman" w:hAnsi="Times New Roman" w:eastAsia="仿宋_GB2312" w:cs="Times New Roman"/>
          <w:sz w:val="30"/>
          <w:szCs w:val="30"/>
        </w:rPr>
        <w:t>网站</w:t>
      </w:r>
      <w:r>
        <w:fldChar w:fldCharType="begin"/>
      </w:r>
      <w:r>
        <w:instrText xml:space="preserve"> HYPERLINK "http://www.safe.gov.cn" </w:instrText>
      </w:r>
      <w:r>
        <w:fldChar w:fldCharType="separate"/>
      </w:r>
      <w:r>
        <w:rPr>
          <w:rFonts w:ascii="Times New Roman" w:hAnsi="Times New Roman" w:cs="Times New Roman"/>
          <w:sz w:val="30"/>
          <w:szCs w:val="30"/>
        </w:rPr>
        <w:t>www.safe.gov.cn</w:t>
      </w:r>
      <w:r>
        <w:rPr>
          <w:rFonts w:ascii="Times New Roman" w:hAnsi="Times New Roman" w:cs="Times New Roman"/>
          <w:sz w:val="30"/>
          <w:szCs w:val="30"/>
        </w:rPr>
        <w:fldChar w:fldCharType="end"/>
      </w:r>
      <w:r>
        <w:rPr>
          <w:rFonts w:hint="eastAsia" w:ascii="Times New Roman" w:hAnsi="Times New Roman" w:cs="Times New Roman"/>
          <w:sz w:val="30"/>
          <w:szCs w:val="30"/>
          <w:lang w:val="en-US" w:eastAsia="zh-CN"/>
        </w:rPr>
        <w:t>/ningxia/</w:t>
      </w:r>
      <w:r>
        <w:rPr>
          <w:rFonts w:hint="eastAsia" w:ascii="Times New Roman" w:hAnsi="Times New Roman" w:eastAsia="仿宋_GB2312" w:cs="Times New Roman"/>
          <w:sz w:val="30"/>
          <w:szCs w:val="30"/>
        </w:rPr>
        <w:t>的</w:t>
      </w:r>
      <w:r>
        <w:rPr>
          <w:rFonts w:hint="eastAsia" w:ascii="Times New Roman" w:hAnsi="Times New Roman" w:eastAsia="仿宋_GB2312" w:cs="Times New Roman"/>
          <w:sz w:val="30"/>
          <w:szCs w:val="30"/>
          <w:lang w:eastAsia="zh-CN"/>
        </w:rPr>
        <w:t>投诉建议</w:t>
      </w:r>
      <w:r>
        <w:rPr>
          <w:rFonts w:hint="eastAsia" w:ascii="Times New Roman" w:hAnsi="Times New Roman" w:eastAsia="仿宋_GB2312" w:cs="Times New Roman"/>
          <w:sz w:val="30"/>
          <w:szCs w:val="30"/>
        </w:rPr>
        <w:t>栏目进行</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也可通过</w:t>
      </w:r>
      <w:r>
        <w:rPr>
          <w:rFonts w:hint="eastAsia" w:ascii="Times New Roman" w:hAnsi="Times New Roman" w:eastAsia="仿宋_GB2312" w:cs="Times New Roman"/>
          <w:sz w:val="30"/>
          <w:szCs w:val="30"/>
          <w:lang w:eastAsia="zh-CN"/>
        </w:rPr>
        <w:t>该</w:t>
      </w:r>
      <w:r>
        <w:rPr>
          <w:rFonts w:hint="eastAsia" w:ascii="Times New Roman" w:hAnsi="Times New Roman" w:eastAsia="仿宋_GB2312" w:cs="Times New Roman"/>
          <w:sz w:val="30"/>
          <w:szCs w:val="30"/>
        </w:rPr>
        <w:t>网站公布的电话进行。</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（十七）</w:t>
      </w:r>
      <w:r>
        <w:rPr>
          <w:rFonts w:ascii="Times New Roman" w:hAnsi="Times New Roman" w:eastAsia="黑体" w:cs="Times New Roman"/>
          <w:sz w:val="30"/>
          <w:szCs w:val="30"/>
        </w:rPr>
        <w:t>办公地址和时间</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（一）办公地址。</w:t>
      </w:r>
      <w:r>
        <w:rPr>
          <w:rFonts w:hint="default" w:ascii="Times New Roman" w:hAnsi="Times New Roman" w:eastAsia="仿宋_GB2312" w:cs="Times New Roman"/>
          <w:sz w:val="30"/>
          <w:szCs w:val="30"/>
        </w:rPr>
        <w:t>宁夏回族自治区银川市兴庆区北京东路215号</w:t>
      </w:r>
      <w:r>
        <w:rPr>
          <w:rFonts w:hint="eastAsia" w:ascii="Times New Roman" w:hAnsi="Times New Roman" w:eastAsia="仿宋_GB2312" w:cs="Times New Roman"/>
          <w:sz w:val="30"/>
          <w:szCs w:val="30"/>
          <w:lang w:eastAsia="zh-CN"/>
        </w:rPr>
        <w:t>外汇管理处</w:t>
      </w:r>
      <w:r>
        <w:rPr>
          <w:rFonts w:ascii="Times New Roman" w:hAnsi="Times New Roman" w:eastAsia="仿宋_GB2312" w:cs="Times New Roman"/>
          <w:sz w:val="30"/>
          <w:szCs w:val="30"/>
        </w:rPr>
        <w:t>，邮政编码</w:t>
      </w:r>
      <w:r>
        <w:rPr>
          <w:rFonts w:hint="eastAsia" w:ascii="Times New Roman" w:hAnsi="Times New Roman" w:eastAsia="仿宋_GB2312" w:cs="Times New Roman"/>
          <w:sz w:val="30"/>
          <w:szCs w:val="30"/>
          <w:lang w:val="en-US" w:eastAsia="zh-CN"/>
        </w:rPr>
        <w:t>750001</w:t>
      </w:r>
      <w:r>
        <w:rPr>
          <w:rFonts w:ascii="Times New Roman" w:hAnsi="Times New Roman" w:eastAsia="仿宋_GB2312" w:cs="Times New Roman"/>
          <w:sz w:val="30"/>
          <w:szCs w:val="30"/>
        </w:rPr>
        <w:t>。</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（二）办公时间。周一至周五，</w:t>
      </w:r>
      <w:r>
        <w:rPr>
          <w:rFonts w:hint="eastAsia" w:ascii="Times New Roman" w:hAnsi="Times New Roman" w:eastAsia="仿宋_GB2312" w:cs="Times New Roman"/>
          <w:sz w:val="30"/>
          <w:szCs w:val="30"/>
          <w:lang w:val="en-US" w:eastAsia="zh-CN"/>
        </w:rPr>
        <w:t>夏季上午08:30到12:00,下午14:30到18:00；冬季上午08:30到12:00,下午14:00到17:30；周六、周日及法定节假日不对外办理业务。</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（三）乘车路线。公交车</w:t>
      </w:r>
      <w:r>
        <w:rPr>
          <w:rFonts w:hint="eastAsia" w:ascii="Times New Roman" w:hAnsi="Times New Roman" w:eastAsia="仿宋_GB2312" w:cs="Times New Roman"/>
          <w:sz w:val="30"/>
          <w:szCs w:val="30"/>
          <w:lang w:val="en-US" w:eastAsia="zh-CN"/>
        </w:rPr>
        <w:t>101、101A、19、18路公交线路经停，可在临湖小区站上/下车。</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（十八）</w:t>
      </w:r>
      <w:r>
        <w:rPr>
          <w:rFonts w:ascii="Times New Roman" w:hAnsi="Times New Roman" w:eastAsia="黑体" w:cs="Times New Roman"/>
          <w:sz w:val="30"/>
          <w:szCs w:val="30"/>
        </w:rPr>
        <w:t>公开查询</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办理时限结束之日后，申请人可通过电话查询。</w:t>
      </w: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group id="组合 1026" o:spid="_x0000_s1027" style="position:absolute;left:0;margin-left:-18pt;margin-top:-32.15pt;height:586.05pt;width:453.65pt;rotation:0f;z-index:251658240;" coordorigin="1195,3000" coordsize="9073,11721">
            <o:lock v:ext="edit" position="f" selection="f" grouping="f" rotation="f" cropping="f" text="f" aspectratio="f"/>
            <v:rect id="Rectangle 6" o:spid="_x0000_s1028" style="position:absolute;left:4255;top:11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7" o:spid="_x0000_s1029" type="#_x0000_t116" style="position:absolute;left:5767;top:13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8" o:spid="_x0000_s1030" type="#_x0000_t116" style="position:absolute;left:2042;top:13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9" o:spid="_x0000_s1031" type="#_x0000_t32" style="position:absolute;left:5729;top:10693;height:626;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0" o:spid="_x0000_s1032" type="#_x0000_t32" style="position:absolute;left:7678;top:12568;height:1095;width:1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1" o:spid="_x0000_s1033" type="#_x0000_t32" style="position:absolute;left:3705;top:12568;height:103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 o:spid="_x0000_s1034" type="#_x0000_t32" style="position:absolute;left:5730;top:11853;height:715;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3" o:spid="_x0000_s1035" type="#_x0000_t32" style="position:absolute;left:3706;top:12568;height:0;width:3972;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35" o:spid="_x0000_s1036" style="position:absolute;left:1195;top:3000;height:7693;width:9073;rotation:0f;" coordorigin="1195,3000" coordsize="9073,7693">
              <o:lock v:ext="edit" position="f" selection="f" grouping="f" rotation="f" cropping="f" text="f" aspectratio="f"/>
              <v:shape id="AutoShape 15" o:spid="_x0000_s1037" type="#_x0000_t32" style="position:absolute;left:7240;top:9566;height:60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组合 1037" o:spid="_x0000_s1038" style="position:absolute;left:1195;top:3000;height:7693;width:9073;rotation:0f;" coordorigin="1195,3000" coordsize="9073,7693">
                <o:lock v:ext="edit" position="f" selection="f" grouping="f" rotation="f" cropping="f" text="f" aspectratio="f"/>
                <v:shape id="AutoShape 17" o:spid="_x0000_s1039" type="#_x0000_t34" style="position:absolute;left:7714;top:6155;height:1285;width:3823;rotation:17694720f;" o:ole="f" fillcolor="#FFFFFF" filled="t" o:preferrelative="t" stroked="t" coordorigin="0,0" coordsize="21600,21600" adj="33">
                  <v:stroke color="#000000" color2="#FFFFFF" miterlimit="2"/>
                  <v:imagedata gain="65536f" blacklevel="0f" gamma="0"/>
                  <o:lock v:ext="edit" position="f" selection="f" grouping="f" rotation="f" cropping="f" text="f" aspectratio="f"/>
                </v:shape>
                <v:shape id="Text Box 18" o:spid="_x0000_s1040" type="#_x0000_t202" style="position:absolute;left:9343;top:5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19" o:spid="_x0000_s1041" type="#_x0000_t32" style="position:absolute;left:7240;top:7472;height:37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20" o:spid="_x0000_s1042" type="#_x0000_t202" style="position:absolute;left:3915;top:9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21" o:spid="_x0000_s1043" type="#_x0000_t4" style="position:absolute;left:5346;top:7833;height:1733;width:363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22" o:spid="_x0000_s1044" style="position:absolute;left:3915;top:10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23" o:spid="_x0000_s1045" style="position:absolute;left:5913;top:6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24" o:spid="_x0000_s1046" type="#_x0000_t116" style="position:absolute;left:5913;top:4050;height:1710;width:2922;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组合 1046" o:spid="_x0000_s1047" style="position:absolute;left:1195;top:3000;height:7424;width:4746;rotation:0f;" coordorigin="1195,3000" coordsize="4746,7424">
                  <o:lock v:ext="edit" position="f" selection="f" grouping="f" rotation="f" cropping="f" text="f" aspectratio="f"/>
                  <v:shape id="AutoShape 26" o:spid="_x0000_s1048" type="#_x0000_t32" style="position:absolute;left:5010;top:6910;height:0;width:93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27" o:spid="_x0000_s1049" type="#_x0000_t32" style="position:absolute;left:2702;top:6986;height:3437;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49" o:spid="_x0000_s1050" style="position:absolute;left:1195;top:3000;height:4066;width:3781;rotation:0f;" coordorigin="1195,3000" coordsize="3781,4066">
                    <o:lock v:ext="edit" position="f" selection="f" grouping="f" rotation="f" cropping="f" text="f" aspectratio="f"/>
                    <v:shape id="AutoShape 29" o:spid="_x0000_s1051" type="#_x0000_t32" style="position:absolute;left:2743;top:4172;height:764;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0" o:spid="_x0000_s1052" type="#_x0000_t32" style="position:absolute;left:4188;top:5967;flip:y;height:26;width:788;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31" o:spid="_x0000_s1053" type="#_x0000_t4" style="position:absolute;left:1195;top:4919;height:2147;width:299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32" o:spid="_x0000_s1054" type="#_x0000_t116" style="position:absolute;left:1531;top:300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33" o:spid="_x0000_s1055" type="#_x0000_t32" style="position:absolute;left:2702;top:10423;height:1;width:121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4" o:spid="_x0000_s1056" type="#_x0000_t32" style="position:absolute;left:5010;top:4999;height:192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35" o:spid="_x0000_s1057" type="#_x0000_t32" style="position:absolute;left:5010;top:4989;height:1;width:90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36" o:spid="_x0000_s1058" type="#_x0000_t202" style="position:absolute;left:1944;top:8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37" o:spid="_x0000_s1059" type="#_x0000_t202" style="position:absolute;left:4146;top:5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38" o:spid="_x0000_s1060" type="#_x0000_t32" style="position:absolute;left:8927;top:4886;flip:x;height:0;width:134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firstLine="420"/>
        <w:rPr>
          <w:rFonts w:ascii="Times New Roman" w:hAnsi="Times New Roman" w:cs="Times New Roman"/>
        </w:r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kern w:val="0"/>
          <w:sz w:val="30"/>
          <w:szCs w:val="30"/>
        </w:rPr>
        <w:br w:type="page"/>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附录二</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jc w:val="center"/>
        <w:rPr>
          <w:rFonts w:ascii="Times New Roman" w:hAnsi="黑体" w:eastAsia="黑体" w:cs="Times New Roman"/>
          <w:sz w:val="30"/>
          <w:szCs w:val="30"/>
        </w:rPr>
      </w:pPr>
      <w:r>
        <w:rPr>
          <w:rFonts w:ascii="Times New Roman" w:hAnsi="黑体" w:eastAsia="黑体" w:cs="Times New Roman"/>
          <w:sz w:val="30"/>
          <w:szCs w:val="30"/>
        </w:rPr>
        <w:t>常见问题</w:t>
      </w:r>
    </w:p>
    <w:p>
      <w:pPr>
        <w:jc w:val="center"/>
        <w:rPr>
          <w:rFonts w:ascii="Times New Roman" w:hAnsi="Times New Roman" w:eastAsia="黑体" w:cs="Times New Roman"/>
          <w:sz w:val="30"/>
          <w:szCs w:val="30"/>
        </w:rPr>
      </w:pP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问：境内债务人因外保内贷项下担保履约形成的对外负债会对企业有什么影响？</w:t>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答：境内债务人因外保内贷业务发生担保履约的，在境内债务人偿清其对境外担保人的债务之前，未经外汇局批准，境内债务人应暂停签订新的外保内贷合同；已经签订外保内贷合同但尚未提款或尚未全部提款的，未经所在地外汇局批准，应暂停办理新的提款。</w:t>
      </w:r>
    </w:p>
    <w:sectPr>
      <w:headerReference r:id="rId4" w:type="default"/>
      <w:footerReference r:id="rId6" w:type="default"/>
      <w:headerReference r:id="rId5"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t>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59936">
    <w:nsid w:val="5A10F1E0"/>
    <w:multiLevelType w:val="singleLevel"/>
    <w:tmpl w:val="5A10F1E0"/>
    <w:lvl w:ilvl="0" w:tentative="1">
      <w:start w:val="3"/>
      <w:numFmt w:val="chineseCounting"/>
      <w:suff w:val="nothing"/>
      <w:lvlText w:val="%1、"/>
      <w:lvlJc w:val="left"/>
    </w:lvl>
  </w:abstractNum>
  <w:abstractNum w:abstractNumId="1511059921">
    <w:nsid w:val="5A10F1D1"/>
    <w:multiLevelType w:val="singleLevel"/>
    <w:tmpl w:val="5A10F1D1"/>
    <w:lvl w:ilvl="0" w:tentative="1">
      <w:start w:val="2"/>
      <w:numFmt w:val="chineseCounting"/>
      <w:suff w:val="nothing"/>
      <w:lvlText w:val="%1、"/>
      <w:lvlJc w:val="left"/>
    </w:lvl>
  </w:abstractNum>
  <w:num w:numId="1">
    <w:abstractNumId w:val="1511059921"/>
  </w:num>
  <w:num w:numId="2">
    <w:abstractNumId w:val="15110599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annotation subject"/>
    <w:lsdException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4"/>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6"/>
    <w:qFormat/>
    <w:uiPriority w:val="9"/>
    <w:pPr>
      <w:ind w:right="300"/>
      <w:outlineLvl w:val="2"/>
    </w:pPr>
    <w:rPr>
      <w:rFonts w:ascii="仿宋_GB2312" w:hAnsi="Calibri" w:eastAsia="仿宋_GB2312" w:cs="Times New Roman"/>
      <w:sz w:val="30"/>
      <w:szCs w:val="30"/>
    </w:rPr>
  </w:style>
  <w:style w:type="character" w:default="1" w:styleId="13">
    <w:name w:val="Default Paragraph Font"/>
    <w:semiHidden/>
    <w:unhideWhenUsed/>
    <w:uiPriority w:val="1"/>
  </w:style>
  <w:style w:type="paragraph" w:styleId="5">
    <w:name w:val="Document Map"/>
    <w:basedOn w:val="1"/>
    <w:link w:val="35"/>
    <w:unhideWhenUsed/>
    <w:qFormat/>
    <w:uiPriority w:val="0"/>
    <w:rPr>
      <w:rFonts w:ascii="宋体"/>
      <w:sz w:val="18"/>
      <w:szCs w:val="18"/>
    </w:rPr>
  </w:style>
  <w:style w:type="paragraph" w:styleId="6">
    <w:name w:val="annotation text"/>
    <w:basedOn w:val="1"/>
    <w:link w:val="32"/>
    <w:unhideWhenUsed/>
    <w:qFormat/>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3"/>
    <w:semiHidden/>
    <w:qFormat/>
    <w:uiPriority w:val="0"/>
    <w:pPr>
      <w:snapToGrid w:val="0"/>
      <w:jc w:val="left"/>
    </w:pPr>
    <w:rPr>
      <w:rFonts w:ascii="Times New Roman" w:hAnsi="Times New Roman"/>
      <w:sz w:val="18"/>
      <w:szCs w:val="18"/>
    </w:rPr>
  </w:style>
  <w:style w:type="paragraph" w:styleId="11">
    <w:name w:val="HTML Preformatted"/>
    <w:basedOn w:val="1"/>
    <w:link w:val="3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footnote reference"/>
    <w:unhideWhenUsed/>
    <w:qFormat/>
    <w:uiPriority w:val="0"/>
    <w:rPr>
      <w:rFonts w:ascii="Times New Roman" w:hAnsi="Times New Roman" w:cs="Times New Roman"/>
      <w:vertAlign w:val="superscript"/>
    </w:rPr>
  </w:style>
  <w:style w:type="paragraph" w:customStyle="1" w:styleId="16">
    <w:name w:val="List Paragraph"/>
    <w:basedOn w:val="1"/>
    <w:qFormat/>
    <w:uiPriority w:val="99"/>
    <w:pPr>
      <w:ind w:firstLine="420" w:firstLineChars="200"/>
    </w:pPr>
  </w:style>
  <w:style w:type="paragraph" w:customStyle="1" w:styleId="17">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8">
    <w:name w:val="juzhon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
    <w:name w:val="列出段落1"/>
    <w:basedOn w:val="1"/>
    <w:qFormat/>
    <w:uiPriority w:val="34"/>
    <w:pPr>
      <w:ind w:firstLine="420" w:firstLineChars="200"/>
    </w:pPr>
    <w:rPr>
      <w:rFonts w:ascii="Calibri" w:hAnsi="Calibri" w:eastAsia="宋体" w:cs="Times New Roman"/>
    </w:rPr>
  </w:style>
  <w:style w:type="paragraph" w:customStyle="1" w:styleId="20">
    <w:name w:val="列出段落4"/>
    <w:basedOn w:val="1"/>
    <w:qFormat/>
    <w:uiPriority w:val="0"/>
    <w:pPr>
      <w:ind w:firstLine="200" w:firstLineChars="200"/>
    </w:pPr>
    <w:rPr>
      <w:rFonts w:ascii="Calibri" w:hAnsi="Calibri" w:eastAsia="宋体" w:cs="Times New Roman"/>
    </w:rPr>
  </w:style>
  <w:style w:type="paragraph" w:customStyle="1" w:styleId="21">
    <w:name w:val="列出段落3"/>
    <w:basedOn w:val="1"/>
    <w:qFormat/>
    <w:uiPriority w:val="0"/>
    <w:pPr>
      <w:ind w:firstLine="420" w:firstLineChars="200"/>
    </w:pPr>
    <w:rPr>
      <w:rFonts w:ascii="Times New Roman" w:hAnsi="Times New Roman" w:eastAsia="宋体" w:cs="Times New Roman"/>
      <w:szCs w:val="24"/>
    </w:rPr>
  </w:style>
  <w:style w:type="paragraph" w:customStyle="1" w:styleId="22">
    <w:name w:val="p0"/>
    <w:basedOn w:val="1"/>
    <w:qFormat/>
    <w:uiPriority w:val="0"/>
    <w:pPr>
      <w:widowControl/>
    </w:pPr>
    <w:rPr>
      <w:rFonts w:ascii="Calibri" w:hAnsi="Calibri" w:eastAsia="宋体" w:cs="宋体"/>
      <w:kern w:val="0"/>
      <w:szCs w:val="21"/>
    </w:rPr>
  </w:style>
  <w:style w:type="paragraph" w:customStyle="1" w:styleId="23">
    <w:name w:val="Revision"/>
    <w:hidden/>
    <w:semiHidden/>
    <w:qFormat/>
    <w:uiPriority w:val="99"/>
    <w:rPr>
      <w:rFonts w:ascii="Calibri" w:hAnsi="Calibri" w:eastAsia="宋体" w:cs="黑体"/>
      <w:kern w:val="2"/>
      <w:sz w:val="21"/>
      <w:szCs w:val="22"/>
      <w:lang w:val="en-US" w:eastAsia="zh-CN" w:bidi="ar-SA"/>
    </w:rPr>
  </w:style>
  <w:style w:type="character" w:customStyle="1" w:styleId="24">
    <w:name w:val="标题 1 Char Char"/>
    <w:basedOn w:val="13"/>
    <w:link w:val="2"/>
    <w:uiPriority w:val="9"/>
    <w:rPr>
      <w:rFonts w:ascii="黑体" w:hAnsi="黑体" w:eastAsia="黑体" w:cs="宋体"/>
      <w:color w:val="000000"/>
      <w:kern w:val="0"/>
      <w:sz w:val="30"/>
      <w:szCs w:val="30"/>
    </w:rPr>
  </w:style>
  <w:style w:type="character" w:customStyle="1" w:styleId="25">
    <w:name w:val="标题 2 Char Char"/>
    <w:basedOn w:val="13"/>
    <w:link w:val="3"/>
    <w:uiPriority w:val="9"/>
    <w:rPr>
      <w:rFonts w:ascii="Cambria" w:hAnsi="Cambria" w:eastAsia="宋体" w:cs="Times New Roman"/>
      <w:b/>
      <w:bCs/>
      <w:sz w:val="32"/>
      <w:szCs w:val="32"/>
    </w:rPr>
  </w:style>
  <w:style w:type="character" w:customStyle="1" w:styleId="26">
    <w:name w:val="标题 3 Char Char"/>
    <w:basedOn w:val="13"/>
    <w:link w:val="4"/>
    <w:uiPriority w:val="9"/>
    <w:rPr>
      <w:rFonts w:ascii="仿宋_GB2312" w:hAnsi="Calibri" w:eastAsia="仿宋_GB2312" w:cs="Times New Roman"/>
      <w:sz w:val="30"/>
      <w:szCs w:val="30"/>
    </w:rPr>
  </w:style>
  <w:style w:type="character" w:customStyle="1" w:styleId="27">
    <w:name w:val="页眉 Char Char"/>
    <w:basedOn w:val="13"/>
    <w:link w:val="9"/>
    <w:uiPriority w:val="99"/>
    <w:rPr>
      <w:sz w:val="18"/>
      <w:szCs w:val="18"/>
    </w:rPr>
  </w:style>
  <w:style w:type="character" w:customStyle="1" w:styleId="28">
    <w:name w:val="页脚 Char Char"/>
    <w:basedOn w:val="13"/>
    <w:link w:val="8"/>
    <w:uiPriority w:val="99"/>
    <w:rPr>
      <w:sz w:val="18"/>
      <w:szCs w:val="18"/>
    </w:rPr>
  </w:style>
  <w:style w:type="character" w:customStyle="1" w:styleId="29">
    <w:name w:val="批注框文本 Char Char"/>
    <w:basedOn w:val="13"/>
    <w:link w:val="7"/>
    <w:uiPriority w:val="0"/>
    <w:rPr>
      <w:sz w:val="18"/>
      <w:szCs w:val="18"/>
    </w:rPr>
  </w:style>
  <w:style w:type="character" w:customStyle="1" w:styleId="30">
    <w:name w:val="批注框文本 Char1"/>
    <w:basedOn w:val="13"/>
    <w:semiHidden/>
    <w:uiPriority w:val="99"/>
    <w:rPr>
      <w:sz w:val="18"/>
      <w:szCs w:val="18"/>
    </w:rPr>
  </w:style>
  <w:style w:type="character" w:customStyle="1" w:styleId="31">
    <w:name w:val="HTML 预设格式 Char Char"/>
    <w:basedOn w:val="13"/>
    <w:link w:val="11"/>
    <w:uiPriority w:val="99"/>
    <w:rPr>
      <w:rFonts w:ascii="宋体" w:hAnsi="宋体" w:eastAsia="宋体" w:cs="宋体"/>
      <w:kern w:val="0"/>
      <w:sz w:val="24"/>
      <w:szCs w:val="24"/>
    </w:rPr>
  </w:style>
  <w:style w:type="character" w:customStyle="1" w:styleId="32">
    <w:name w:val="批注文字 Char Char"/>
    <w:basedOn w:val="13"/>
    <w:link w:val="6"/>
    <w:uiPriority w:val="99"/>
    <w:rPr>
      <w:rFonts w:ascii="Calibri" w:hAnsi="Calibri" w:eastAsia="宋体" w:cs="Times New Roman"/>
    </w:rPr>
  </w:style>
  <w:style w:type="character" w:customStyle="1" w:styleId="33">
    <w:name w:val="脚注文本 Char Char"/>
    <w:basedOn w:val="13"/>
    <w:link w:val="10"/>
    <w:uiPriority w:val="0"/>
    <w:rPr>
      <w:rFonts w:ascii="Times New Roman" w:hAnsi="Times New Roman"/>
      <w:sz w:val="18"/>
      <w:szCs w:val="18"/>
    </w:rPr>
  </w:style>
  <w:style w:type="character" w:customStyle="1" w:styleId="34">
    <w:name w:val="标题 4 Char Char"/>
    <w:qFormat/>
    <w:uiPriority w:val="0"/>
    <w:rPr>
      <w:rFonts w:ascii="Calibri" w:hAnsi="Calibri"/>
      <w:b/>
      <w:bCs/>
      <w:sz w:val="28"/>
      <w:szCs w:val="28"/>
      <w:lang w:eastAsia="en-US" w:bidi="en-US"/>
    </w:rPr>
  </w:style>
  <w:style w:type="character" w:customStyle="1" w:styleId="35">
    <w:name w:val="文档结构图 Char Char"/>
    <w:basedOn w:val="13"/>
    <w:link w:val="5"/>
    <w:uiPriority w:val="0"/>
    <w:rPr>
      <w:rFonts w:ascii="宋体"/>
      <w:sz w:val="18"/>
      <w:szCs w:val="18"/>
    </w:rPr>
  </w:style>
  <w:style w:type="character" w:customStyle="1" w:styleId="36">
    <w:name w:val="Intense Emphasis"/>
    <w:basedOn w:val="13"/>
    <w:qFormat/>
    <w:uiPriority w:val="21"/>
    <w:rPr>
      <w:b/>
      <w:bCs/>
      <w:i/>
      <w:iCs/>
      <w:color w:val="4F81BD"/>
    </w:rPr>
  </w:style>
  <w:style w:type="character" w:customStyle="1" w:styleId="37">
    <w:name w:val="文档结构图 Char1"/>
    <w:basedOn w:val="13"/>
    <w:semiHidden/>
    <w:qFormat/>
    <w:uiPriority w:val="99"/>
    <w:rPr>
      <w:rFonts w:ascii="宋体" w:eastAsia="宋体"/>
      <w:sz w:val="18"/>
      <w:szCs w:val="18"/>
    </w:rPr>
  </w:style>
  <w:style w:type="character" w:customStyle="1" w:styleId="38">
    <w:name w:val="脚注文本 Char2"/>
    <w:basedOn w:val="13"/>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theme" Target="theme/theme1.xml"/><Relationship Id="rId8"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341</Words>
  <Characters>1945</Characters>
  <Lines>16</Lines>
  <Paragraphs>4</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2019-11-28T09:31:00Z</dcterms:created>
  <dc:creator>朱敏1</dc:creator>
  <cp:lastModifiedBy>杜鑫/外汇管理处/银川/PBC</cp:lastModifiedBy>
  <cp:lastPrinted>2021-04-25T12:40:00Z</cp:lastPrinted>
  <dcterms:modified xsi:type="dcterms:W3CDTF">2021-04-27T09:17:54Z</dcterms:modified>
  <dc:title>编号：57006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