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AA" w:rsidRDefault="00551DAA" w:rsidP="00551DAA">
      <w:pPr>
        <w:spacing w:line="980" w:lineRule="exact"/>
        <w:ind w:right="618"/>
        <w:rPr>
          <w:rFonts w:ascii="黑体" w:eastAsia="黑体"/>
          <w:color w:val="000000"/>
          <w:sz w:val="32"/>
        </w:rPr>
      </w:pPr>
    </w:p>
    <w:p w:rsidR="00551DAA" w:rsidRDefault="004526AF" w:rsidP="00551DAA">
      <w:pPr>
        <w:spacing w:line="1200" w:lineRule="exact"/>
        <w:jc w:val="center"/>
        <w:outlineLvl w:val="0"/>
        <w:rPr>
          <w:rFonts w:ascii="黑体" w:eastAsia="方正小标宋简体"/>
          <w:b/>
          <w:color w:val="FF0000"/>
          <w:w w:val="70"/>
          <w:sz w:val="84"/>
          <w:szCs w:val="84"/>
        </w:rPr>
      </w:pPr>
      <w:bookmarkStart w:id="0" w:name="KPriority"/>
      <w:bookmarkEnd w:id="0"/>
      <w:r w:rsidRPr="004526AF">
        <w:pict>
          <v:shapetype id="_x0000_t202" coordsize="21600,21600" o:spt="202" path="m,l,21600r21600,l21600,xe">
            <v:stroke joinstyle="miter"/>
            <v:path gradientshapeok="t" o:connecttype="rect"/>
          </v:shapetype>
          <v:shape id="Text Box 15" o:spid="_x0000_s2051" type="#_x0000_t202" style="position:absolute;left:0;text-align:left;margin-left:0;margin-top:41.7pt;width:442.2pt;height:80.65pt;z-index:251657216" filled="f" stroked="f">
            <v:textbox inset="0,0,0,0">
              <w:txbxContent>
                <w:p w:rsidR="00551DAA" w:rsidRDefault="00551DAA" w:rsidP="00551DAA">
                  <w:pPr>
                    <w:spacing w:line="720" w:lineRule="auto"/>
                    <w:jc w:val="center"/>
                    <w:outlineLvl w:val="0"/>
                    <w:rPr>
                      <w:rFonts w:ascii="黑体"/>
                      <w:color w:val="FF0000"/>
                      <w:w w:val="55"/>
                      <w:sz w:val="118"/>
                      <w:szCs w:val="118"/>
                    </w:rPr>
                  </w:pPr>
                  <w:r>
                    <w:rPr>
                      <w:rFonts w:ascii="黑体" w:hint="eastAsia"/>
                      <w:color w:val="FF0000"/>
                      <w:w w:val="54"/>
                      <w:sz w:val="118"/>
                      <w:szCs w:val="118"/>
                    </w:rPr>
                    <w:t>国家外汇管理局辽宁省分局文</w:t>
                  </w:r>
                  <w:r>
                    <w:rPr>
                      <w:rFonts w:ascii="黑体" w:hint="eastAsia"/>
                      <w:color w:val="FF0000"/>
                      <w:w w:val="55"/>
                      <w:sz w:val="118"/>
                      <w:szCs w:val="118"/>
                    </w:rPr>
                    <w:t>件</w:t>
                  </w:r>
                </w:p>
                <w:p w:rsidR="00551DAA" w:rsidRDefault="00551DAA" w:rsidP="00551DAA">
                  <w:pPr>
                    <w:rPr>
                      <w:sz w:val="100"/>
                      <w:szCs w:val="100"/>
                    </w:rPr>
                  </w:pPr>
                </w:p>
              </w:txbxContent>
            </v:textbox>
          </v:shape>
        </w:pict>
      </w:r>
      <w:r w:rsidR="00551DAA">
        <w:rPr>
          <w:rFonts w:ascii="黑体" w:eastAsia="方正小标宋简体" w:hint="eastAsia"/>
          <w:b/>
          <w:color w:val="FF0000"/>
          <w:w w:val="70"/>
          <w:sz w:val="84"/>
          <w:szCs w:val="84"/>
        </w:rPr>
        <w:t xml:space="preserve"> </w:t>
      </w:r>
    </w:p>
    <w:p w:rsidR="00551DAA" w:rsidRDefault="00551DAA" w:rsidP="00551DAA">
      <w:pPr>
        <w:jc w:val="center"/>
        <w:rPr>
          <w:color w:val="000000"/>
          <w:sz w:val="32"/>
        </w:rPr>
      </w:pPr>
    </w:p>
    <w:p w:rsidR="00551DAA" w:rsidRDefault="00551DAA" w:rsidP="00551DAA">
      <w:pPr>
        <w:jc w:val="center"/>
        <w:rPr>
          <w:color w:val="000000"/>
          <w:sz w:val="32"/>
        </w:rPr>
      </w:pPr>
    </w:p>
    <w:p w:rsidR="00551DAA" w:rsidRDefault="00551DAA" w:rsidP="00551DAA">
      <w:pPr>
        <w:rPr>
          <w:color w:val="000000"/>
          <w:sz w:val="32"/>
        </w:rPr>
      </w:pPr>
      <w:r>
        <w:rPr>
          <w:color w:val="000000"/>
          <w:sz w:val="32"/>
        </w:rPr>
        <w:t xml:space="preserve">  </w:t>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r>
        <w:rPr>
          <w:color w:val="000000"/>
          <w:sz w:val="32"/>
        </w:rPr>
        <w:tab/>
      </w:r>
    </w:p>
    <w:p w:rsidR="00551DAA" w:rsidRDefault="00551DAA" w:rsidP="00551DAA">
      <w:pPr>
        <w:spacing w:line="600" w:lineRule="exact"/>
        <w:rPr>
          <w:color w:val="000000"/>
          <w:sz w:val="32"/>
        </w:rPr>
      </w:pPr>
    </w:p>
    <w:p w:rsidR="00551DAA" w:rsidRDefault="00551DAA" w:rsidP="00551DAA">
      <w:pPr>
        <w:ind w:firstLine="306"/>
        <w:jc w:val="center"/>
        <w:rPr>
          <w:rFonts w:ascii="仿宋_GB2312" w:eastAsia="仿宋_GB2312"/>
          <w:color w:val="000000"/>
          <w:sz w:val="32"/>
        </w:rPr>
      </w:pPr>
      <w:bookmarkStart w:id="1" w:name="TFileNo"/>
      <w:bookmarkEnd w:id="1"/>
      <w:r>
        <w:rPr>
          <w:rFonts w:ascii="仿宋_GB2312" w:eastAsia="仿宋_GB2312" w:hint="eastAsia"/>
          <w:color w:val="000000"/>
          <w:sz w:val="32"/>
        </w:rPr>
        <w:t>辽汇发〔2019〕10号</w:t>
      </w:r>
    </w:p>
    <w:p w:rsidR="00551DAA" w:rsidRDefault="004526AF" w:rsidP="00551DAA">
      <w:pPr>
        <w:rPr>
          <w:rFonts w:ascii="楷体_GB2312" w:eastAsia="楷体_GB2312" w:hAnsi="楷体"/>
          <w:color w:val="000000"/>
          <w:sz w:val="10"/>
          <w:szCs w:val="10"/>
        </w:rPr>
      </w:pPr>
      <w:r w:rsidRPr="004526AF">
        <w:pict>
          <v:line id="Line 14" o:spid="_x0000_s2050" style="position:absolute;left:0;text-align:left;flip:y;z-index:251658240" from="0,4.5pt" to="442.2pt,4.5pt" strokecolor="red" strokeweight=".5mm"/>
        </w:pict>
      </w:r>
    </w:p>
    <w:p w:rsidR="00551DAA" w:rsidRDefault="00551DAA" w:rsidP="00551DAA">
      <w:pPr>
        <w:spacing w:line="580" w:lineRule="exact"/>
        <w:jc w:val="center"/>
        <w:rPr>
          <w:rFonts w:ascii="仿宋_GB2312" w:eastAsia="仿宋_GB2312"/>
          <w:color w:val="000000"/>
          <w:sz w:val="32"/>
        </w:rPr>
      </w:pPr>
    </w:p>
    <w:p w:rsidR="00551DAA" w:rsidRDefault="00551DAA" w:rsidP="00551DAA">
      <w:pPr>
        <w:spacing w:line="580" w:lineRule="exact"/>
        <w:jc w:val="center"/>
        <w:rPr>
          <w:rFonts w:ascii="仿宋_GB2312" w:eastAsia="仿宋_GB2312"/>
          <w:color w:val="000000"/>
          <w:sz w:val="32"/>
        </w:rPr>
      </w:pPr>
    </w:p>
    <w:p w:rsidR="00551DAA" w:rsidRDefault="00551DAA" w:rsidP="00551DAA">
      <w:pPr>
        <w:spacing w:line="580" w:lineRule="exact"/>
        <w:jc w:val="center"/>
        <w:rPr>
          <w:rFonts w:ascii="宋体" w:hAnsi="宋体"/>
          <w:color w:val="000000"/>
          <w:sz w:val="44"/>
        </w:rPr>
      </w:pPr>
      <w:bookmarkStart w:id="2" w:name="TTitle"/>
      <w:bookmarkEnd w:id="2"/>
      <w:r>
        <w:rPr>
          <w:rFonts w:ascii="宋体" w:hAnsi="宋体" w:hint="eastAsia"/>
          <w:color w:val="000000"/>
          <w:sz w:val="44"/>
        </w:rPr>
        <w:t>国家外汇管理局辽宁省分局</w:t>
      </w:r>
    </w:p>
    <w:p w:rsidR="00551DAA" w:rsidRDefault="00551DAA" w:rsidP="00551DAA">
      <w:pPr>
        <w:spacing w:line="580" w:lineRule="exact"/>
        <w:jc w:val="center"/>
        <w:rPr>
          <w:rFonts w:ascii="宋体" w:hAnsi="宋体"/>
          <w:color w:val="000000"/>
          <w:sz w:val="44"/>
        </w:rPr>
      </w:pPr>
      <w:r>
        <w:rPr>
          <w:rFonts w:ascii="宋体" w:hAnsi="宋体" w:hint="eastAsia"/>
          <w:color w:val="000000"/>
          <w:sz w:val="44"/>
        </w:rPr>
        <w:t>关于在中国（辽宁）自由贸易试验区</w:t>
      </w:r>
    </w:p>
    <w:p w:rsidR="00551DAA" w:rsidRDefault="00551DAA" w:rsidP="00551DAA">
      <w:pPr>
        <w:spacing w:line="580" w:lineRule="exact"/>
        <w:jc w:val="center"/>
        <w:rPr>
          <w:rFonts w:ascii="宋体" w:hAnsi="宋体"/>
          <w:color w:val="000000"/>
          <w:sz w:val="44"/>
        </w:rPr>
      </w:pPr>
      <w:r>
        <w:rPr>
          <w:rFonts w:ascii="宋体" w:hAnsi="宋体" w:hint="eastAsia"/>
          <w:color w:val="000000"/>
          <w:sz w:val="44"/>
        </w:rPr>
        <w:t>沈阳、营口片区开展外汇创新业务的通知</w:t>
      </w:r>
    </w:p>
    <w:p w:rsidR="00551DAA" w:rsidRDefault="00551DAA" w:rsidP="00551DAA">
      <w:pPr>
        <w:spacing w:line="580" w:lineRule="exact"/>
        <w:jc w:val="center"/>
        <w:rPr>
          <w:rFonts w:ascii="仿宋_GB2312" w:eastAsia="仿宋_GB2312"/>
          <w:color w:val="000000"/>
          <w:sz w:val="32"/>
        </w:rPr>
      </w:pPr>
    </w:p>
    <w:p w:rsidR="00551DAA" w:rsidRDefault="00551DAA" w:rsidP="00551DAA">
      <w:pPr>
        <w:spacing w:line="580" w:lineRule="exact"/>
        <w:rPr>
          <w:rFonts w:ascii="仿宋_GB2312" w:eastAsia="仿宋_GB2312"/>
          <w:color w:val="000000"/>
          <w:sz w:val="32"/>
          <w:szCs w:val="32"/>
        </w:rPr>
      </w:pPr>
      <w:bookmarkStart w:id="3" w:name="TSendTo"/>
      <w:bookmarkEnd w:id="3"/>
      <w:r>
        <w:rPr>
          <w:rFonts w:ascii="仿宋_GB2312" w:eastAsia="仿宋_GB2312" w:hint="eastAsia"/>
          <w:color w:val="000000"/>
          <w:sz w:val="32"/>
          <w:szCs w:val="32"/>
        </w:rPr>
        <w:t>国家外汇管理局辽宁省各市中心支局、各外汇指定银行：</w:t>
      </w:r>
    </w:p>
    <w:p w:rsidR="00551DAA" w:rsidRDefault="00551DAA" w:rsidP="00551DAA">
      <w:pPr>
        <w:spacing w:line="580" w:lineRule="exact"/>
        <w:ind w:firstLineChars="200" w:firstLine="640"/>
        <w:rPr>
          <w:rFonts w:ascii="仿宋_GB2312" w:eastAsia="仿宋_GB2312" w:hAnsi="仿宋"/>
          <w:sz w:val="32"/>
          <w:szCs w:val="32"/>
        </w:rPr>
      </w:pPr>
      <w:bookmarkStart w:id="4" w:name="zw"/>
      <w:bookmarkEnd w:id="4"/>
      <w:r>
        <w:rPr>
          <w:rFonts w:ascii="仿宋_GB2312" w:eastAsia="仿宋_GB2312" w:hAnsi="仿宋" w:cs="仿宋_GB2312" w:hint="eastAsia"/>
          <w:sz w:val="32"/>
          <w:szCs w:val="32"/>
        </w:rPr>
        <w:t>为深化外汇管理改革，促进投融资便利化，有效服务实体经济，经国家外汇管理局批复，</w:t>
      </w:r>
      <w:r>
        <w:rPr>
          <w:rFonts w:ascii="仿宋_GB2312" w:eastAsia="仿宋_GB2312" w:hAnsi="仿宋" w:hint="eastAsia"/>
          <w:sz w:val="32"/>
          <w:szCs w:val="32"/>
        </w:rPr>
        <w:t>国家外汇管理局辽宁省分局（以下简称“辽宁省分局”）决定从即日起，在中国（辽宁）自由贸易实验区沈阳、营口片区开展外汇创新业务，现将有关事宜通知如下：</w:t>
      </w:r>
    </w:p>
    <w:p w:rsidR="00551DAA" w:rsidRDefault="00551DAA" w:rsidP="00551DAA">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一、允许在试验区内继续开展资本项目外汇收入支付便利化试点（操作指引详见附件1），凡以前操作与本通知操作</w:t>
      </w:r>
      <w:r>
        <w:rPr>
          <w:rFonts w:ascii="仿宋_GB2312" w:eastAsia="仿宋_GB2312" w:hAnsi="仿宋" w:cs="仿宋_GB2312" w:hint="eastAsia"/>
          <w:sz w:val="32"/>
          <w:szCs w:val="32"/>
        </w:rPr>
        <w:lastRenderedPageBreak/>
        <w:t>不一致的，按本通知操作指引执行。</w:t>
      </w:r>
    </w:p>
    <w:p w:rsidR="00551DAA" w:rsidRDefault="00551DAA" w:rsidP="00551DAA">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二、允许试验区内企业在辽宁省分局辖内任一银行办理境内直接投资基本信息登记、变更与注销业务。</w:t>
      </w:r>
    </w:p>
    <w:p w:rsidR="00551DAA" w:rsidRDefault="00551DAA" w:rsidP="00551DAA">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三、允许试验区内非投资性外商投资企业参照实际投资规模，在真实、合规的前提下，将资本项目收入或结汇所得人民币资金依法用于境内股权投资。</w:t>
      </w:r>
    </w:p>
    <w:p w:rsidR="00551DAA" w:rsidRDefault="00551DAA" w:rsidP="00551DAA">
      <w:pPr>
        <w:spacing w:line="58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四、允许试验区内企业开展跨国公司跨境资金集中运营管理业务，除“上年度本外币国际收支规模应超过5000万美元”外，其余依据《国家外汇管理局关于印发&lt;跨国公司跨境资金集中运营管理规定&gt;的通知》（汇发〔2019〕7号）办理。</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cs="仿宋_GB2312" w:hint="eastAsia"/>
          <w:sz w:val="32"/>
          <w:szCs w:val="32"/>
        </w:rPr>
        <w:t>五</w:t>
      </w:r>
      <w:r>
        <w:rPr>
          <w:rFonts w:ascii="仿宋_GB2312" w:eastAsia="仿宋_GB2312" w:hAnsi="仿宋" w:hint="eastAsia"/>
          <w:color w:val="000000"/>
          <w:sz w:val="32"/>
          <w:szCs w:val="32"/>
        </w:rPr>
        <w:t>、允许试验区内已选择“投注差”模式借用外债的企业，可调整为以跨境融资宏观审慎管理模式借用外债，一经调整不得变更。有调整需求的企业可在新办理外债签约登记时，向所在地外汇局提出变更申请，外汇局审核同意后允许变更，并在该笔外债《境内机构外债签约情况表》备注栏中予以标注。变更后，企业将采用跨境融资宏观审慎管理模式借用外债。</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六、允许试验区内企业跨境融资的提款币种、偿还币种与签约币种不一致，但提款币种与偿还币种须一致。</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七、允许试验区内企业的外债注销登记业务由辽宁省分局辖内任一银行办理，企业办理外债注销登记业务没有时限要求（操作指引详见附件2）。</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八、适用试验区外汇试点政策办理业务的企业需留存相</w:t>
      </w:r>
      <w:r>
        <w:rPr>
          <w:rFonts w:ascii="仿宋_GB2312" w:eastAsia="仿宋_GB2312" w:hAnsi="仿宋" w:hint="eastAsia"/>
          <w:color w:val="000000"/>
          <w:sz w:val="32"/>
          <w:szCs w:val="32"/>
        </w:rPr>
        <w:lastRenderedPageBreak/>
        <w:t>关业务资料，以备银行和外汇局事后监督查验。除另有规定外，机构、个人应留存充分证明所涉业务真实、合法的相关文件和单证（含电子单证）等5年备查。</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九、各银行在办理试验区内外汇试点政策相关业务时，需遵循行业自律要求深入进行尽职调查，依法办理业务，并加强事后监督。发现相关业务或办理主体存在异常或可疑情况的，应及时报告所在地外汇局。</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十、各市中心支局</w:t>
      </w:r>
      <w:r>
        <w:rPr>
          <w:rFonts w:ascii="仿宋_GB2312" w:eastAsia="仿宋_GB2312" w:hAnsi="仿宋" w:hint="eastAsia"/>
          <w:sz w:val="32"/>
          <w:szCs w:val="32"/>
        </w:rPr>
        <w:t>每半年首月7日前</w:t>
      </w:r>
      <w:r>
        <w:rPr>
          <w:rFonts w:ascii="仿宋_GB2312" w:eastAsia="仿宋_GB2312" w:hAnsi="仿宋" w:hint="eastAsia"/>
          <w:color w:val="000000"/>
          <w:sz w:val="32"/>
          <w:szCs w:val="32"/>
        </w:rPr>
        <w:t>向辽宁省分局报送前半年度辖内试验区业务情况报告，包括但不限于跨境收支、结售汇数据及同比环比分析（应区分本外币数据；分析重点交易项目对试验区数据的贡献度；分析所辖试验区数据对全辖数据的贡献度等）；是否存在异常情况及原因分析；其他需说明的情况。</w:t>
      </w:r>
    </w:p>
    <w:p w:rsidR="00551DAA" w:rsidRDefault="00551DAA" w:rsidP="00551DAA">
      <w:pPr>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十一、辽宁省分局将适时对试验区相关业务办理情况进行核查检查，依法查处涉嫌违规行为。对于不按照本通知要求办理业务的银行，将视情节要求整改或取消试点资格。</w:t>
      </w:r>
    </w:p>
    <w:p w:rsidR="00551DAA" w:rsidRDefault="00551DAA" w:rsidP="00551DAA">
      <w:pPr>
        <w:spacing w:line="580" w:lineRule="exact"/>
        <w:ind w:firstLineChars="200" w:firstLine="640"/>
        <w:rPr>
          <w:rFonts w:ascii="仿宋_GB2312" w:eastAsia="仿宋_GB2312"/>
          <w:sz w:val="32"/>
          <w:szCs w:val="32"/>
        </w:rPr>
      </w:pPr>
      <w:r>
        <w:rPr>
          <w:rFonts w:ascii="仿宋_GB2312" w:eastAsia="仿宋_GB2312" w:hAnsi="仿宋" w:hint="eastAsia"/>
          <w:kern w:val="0"/>
          <w:sz w:val="32"/>
          <w:szCs w:val="32"/>
        </w:rPr>
        <w:t>十二、各市中心支局接到本通知后，应及时转发辖内支局和银行。各银行接到本通知后，应及时转发下属分支机构。执行中如遇问题，请及时向辽宁省分局反馈。</w:t>
      </w:r>
    </w:p>
    <w:p w:rsidR="00551DAA" w:rsidRDefault="00551DAA" w:rsidP="00551DAA">
      <w:pPr>
        <w:spacing w:line="580" w:lineRule="exact"/>
        <w:rPr>
          <w:rFonts w:ascii="仿宋_GB2312" w:eastAsia="仿宋_GB2312"/>
          <w:color w:val="000000"/>
          <w:sz w:val="32"/>
          <w:szCs w:val="32"/>
        </w:rPr>
      </w:pPr>
    </w:p>
    <w:p w:rsidR="00551DAA" w:rsidRDefault="00551DAA" w:rsidP="00551DAA">
      <w:pPr>
        <w:spacing w:line="58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附件：</w:t>
      </w:r>
      <w:bookmarkStart w:id="5" w:name="TAttachment"/>
      <w:bookmarkEnd w:id="5"/>
      <w:r>
        <w:rPr>
          <w:rFonts w:ascii="仿宋_GB2312" w:eastAsia="仿宋_GB2312" w:hint="eastAsia"/>
          <w:color w:val="000000"/>
          <w:sz w:val="32"/>
          <w:szCs w:val="32"/>
        </w:rPr>
        <w:t>1.资本项目外汇收入支付便利化业务操作指引</w:t>
      </w:r>
    </w:p>
    <w:p w:rsidR="00551DAA" w:rsidRDefault="00551DAA" w:rsidP="00551DAA">
      <w:pPr>
        <w:spacing w:line="580" w:lineRule="exact"/>
        <w:ind w:firstLineChars="490" w:firstLine="1568"/>
        <w:rPr>
          <w:rFonts w:ascii="仿宋_GB2312" w:eastAsia="仿宋_GB2312"/>
          <w:color w:val="000000"/>
          <w:sz w:val="32"/>
        </w:rPr>
      </w:pPr>
      <w:r>
        <w:rPr>
          <w:rFonts w:ascii="仿宋_GB2312" w:eastAsia="仿宋_GB2312" w:hint="eastAsia"/>
          <w:color w:val="000000"/>
          <w:sz w:val="32"/>
          <w:szCs w:val="32"/>
        </w:rPr>
        <w:t>2.非银行债务人外债注销登记业务操作指引</w:t>
      </w:r>
    </w:p>
    <w:p w:rsidR="00551DAA" w:rsidRDefault="00551DAA" w:rsidP="00551DAA">
      <w:pPr>
        <w:jc w:val="center"/>
        <w:rPr>
          <w:rFonts w:ascii="仿宋_GB2312" w:eastAsia="仿宋_GB2312"/>
          <w:color w:val="000000"/>
          <w:sz w:val="32"/>
        </w:rPr>
      </w:pPr>
    </w:p>
    <w:p w:rsidR="00551DAA" w:rsidRDefault="00551DAA" w:rsidP="00551DAA">
      <w:pPr>
        <w:jc w:val="center"/>
        <w:rPr>
          <w:rFonts w:ascii="仿宋_GB2312" w:eastAsia="仿宋_GB2312"/>
          <w:color w:val="000000"/>
          <w:sz w:val="32"/>
        </w:rPr>
      </w:pPr>
    </w:p>
    <w:p w:rsidR="00551DAA" w:rsidRDefault="00551DAA" w:rsidP="00551DAA">
      <w:pPr>
        <w:jc w:val="center"/>
        <w:rPr>
          <w:rFonts w:ascii="仿宋_GB2312" w:eastAsia="仿宋_GB2312"/>
          <w:color w:val="000000"/>
          <w:sz w:val="32"/>
        </w:rPr>
      </w:pPr>
    </w:p>
    <w:p w:rsidR="00551DAA" w:rsidRDefault="00551DAA" w:rsidP="00551DAA">
      <w:pPr>
        <w:wordWrap w:val="0"/>
        <w:jc w:val="right"/>
        <w:rPr>
          <w:rFonts w:ascii="仿宋_GB2312" w:eastAsia="仿宋_GB2312"/>
          <w:color w:val="000000"/>
          <w:sz w:val="32"/>
        </w:rPr>
      </w:pPr>
      <w:r>
        <w:rPr>
          <w:rFonts w:ascii="仿宋_GB2312" w:eastAsia="仿宋_GB2312" w:hint="eastAsia"/>
          <w:color w:val="000000"/>
          <w:sz w:val="32"/>
        </w:rPr>
        <w:t xml:space="preserve">国家外汇管理局辽宁省分局　　</w:t>
      </w:r>
    </w:p>
    <w:p w:rsidR="00551DAA" w:rsidRDefault="00551DAA" w:rsidP="00551DAA">
      <w:pPr>
        <w:wordWrap w:val="0"/>
        <w:jc w:val="right"/>
        <w:outlineLvl w:val="0"/>
        <w:rPr>
          <w:rFonts w:ascii="仿宋_GB2312" w:eastAsia="仿宋_GB2312"/>
          <w:color w:val="000000"/>
          <w:sz w:val="32"/>
        </w:rPr>
      </w:pPr>
      <w:bookmarkStart w:id="6" w:name="TASignYear"/>
      <w:bookmarkEnd w:id="6"/>
      <w:r>
        <w:rPr>
          <w:rFonts w:ascii="仿宋_GB2312" w:eastAsia="仿宋_GB2312" w:hint="eastAsia"/>
          <w:color w:val="000000"/>
          <w:sz w:val="32"/>
        </w:rPr>
        <w:t>2019年</w:t>
      </w:r>
      <w:bookmarkStart w:id="7" w:name="TASignMonth"/>
      <w:bookmarkEnd w:id="7"/>
      <w:r>
        <w:rPr>
          <w:rFonts w:ascii="仿宋_GB2312" w:eastAsia="仿宋_GB2312" w:hint="eastAsia"/>
          <w:color w:val="000000"/>
          <w:sz w:val="32"/>
        </w:rPr>
        <w:t>7月</w:t>
      </w:r>
      <w:bookmarkStart w:id="8" w:name="TASignDay"/>
      <w:bookmarkEnd w:id="8"/>
      <w:r>
        <w:rPr>
          <w:rFonts w:ascii="仿宋_GB2312" w:eastAsia="仿宋_GB2312" w:hint="eastAsia"/>
          <w:color w:val="000000"/>
          <w:sz w:val="32"/>
        </w:rPr>
        <w:t xml:space="preserve">12日　　　　</w:t>
      </w:r>
    </w:p>
    <w:p w:rsidR="00551DAA" w:rsidRDefault="00551DAA" w:rsidP="00551DAA">
      <w:pPr>
        <w:jc w:val="right"/>
        <w:outlineLvl w:val="0"/>
        <w:rPr>
          <w:rFonts w:ascii="仿宋_GB2312" w:eastAsia="仿宋_GB2312"/>
          <w:color w:val="000000"/>
          <w:sz w:val="32"/>
        </w:rPr>
      </w:pPr>
    </w:p>
    <w:tbl>
      <w:tblPr>
        <w:tblpPr w:leftFromText="181" w:rightFromText="181" w:horzAnchor="margin" w:tblpXSpec="center" w:tblpYSpec="bottom"/>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9"/>
        <w:gridCol w:w="4328"/>
      </w:tblGrid>
      <w:tr w:rsidR="00551DAA" w:rsidTr="00551DAA">
        <w:trPr>
          <w:cantSplit/>
          <w:trHeight w:val="708"/>
        </w:trPr>
        <w:tc>
          <w:tcPr>
            <w:tcW w:w="8857" w:type="dxa"/>
            <w:gridSpan w:val="2"/>
            <w:tcBorders>
              <w:top w:val="nil"/>
              <w:left w:val="nil"/>
              <w:bottom w:val="single" w:sz="12" w:space="0" w:color="auto"/>
              <w:right w:val="nil"/>
            </w:tcBorders>
            <w:vAlign w:val="center"/>
            <w:hideMark/>
          </w:tcPr>
          <w:p w:rsidR="00551DAA" w:rsidRDefault="00551DAA">
            <w:pPr>
              <w:spacing w:before="120" w:after="120"/>
              <w:rPr>
                <w:rFonts w:ascii="黑体" w:eastAsia="黑体"/>
                <w:color w:val="000000"/>
                <w:sz w:val="28"/>
                <w:szCs w:val="28"/>
              </w:rPr>
            </w:pPr>
            <w:r>
              <w:rPr>
                <w:rFonts w:ascii="黑体" w:eastAsia="黑体" w:hint="eastAsia"/>
                <w:sz w:val="28"/>
                <w:szCs w:val="28"/>
              </w:rPr>
              <w:t>信息公开选项</w:t>
            </w:r>
            <w:r>
              <w:rPr>
                <w:rFonts w:ascii="黑体" w:eastAsia="黑体" w:hint="eastAsia"/>
                <w:color w:val="000000"/>
                <w:sz w:val="28"/>
                <w:szCs w:val="28"/>
              </w:rPr>
              <w:t>：</w:t>
            </w:r>
            <w:bookmarkStart w:id="9" w:name="TZwgk"/>
            <w:bookmarkEnd w:id="9"/>
            <w:r>
              <w:rPr>
                <w:rFonts w:ascii="黑体" w:eastAsia="黑体" w:hint="eastAsia"/>
                <w:color w:val="000000"/>
                <w:sz w:val="28"/>
                <w:szCs w:val="28"/>
              </w:rPr>
              <w:t>依申请公开</w:t>
            </w:r>
          </w:p>
        </w:tc>
      </w:tr>
      <w:tr w:rsidR="00551DAA" w:rsidTr="00551DAA">
        <w:trPr>
          <w:cantSplit/>
          <w:trHeight w:val="374"/>
        </w:trPr>
        <w:tc>
          <w:tcPr>
            <w:tcW w:w="8857" w:type="dxa"/>
            <w:gridSpan w:val="2"/>
            <w:tcBorders>
              <w:top w:val="single" w:sz="12" w:space="0" w:color="auto"/>
              <w:left w:val="nil"/>
              <w:bottom w:val="single" w:sz="8" w:space="0" w:color="auto"/>
              <w:right w:val="nil"/>
            </w:tcBorders>
            <w:vAlign w:val="center"/>
            <w:hideMark/>
          </w:tcPr>
          <w:p w:rsidR="00551DAA" w:rsidRDefault="00551DAA">
            <w:pPr>
              <w:spacing w:before="120" w:after="120"/>
              <w:rPr>
                <w:rFonts w:ascii="仿宋_GB2312" w:eastAsia="仿宋_GB2312"/>
                <w:color w:val="000000"/>
                <w:sz w:val="28"/>
                <w:szCs w:val="28"/>
              </w:rPr>
            </w:pPr>
            <w:r>
              <w:rPr>
                <w:rFonts w:ascii="宋体" w:hint="eastAsia"/>
                <w:color w:val="000000"/>
                <w:sz w:val="24"/>
              </w:rPr>
              <w:t xml:space="preserve">  </w:t>
            </w:r>
            <w:r>
              <w:rPr>
                <w:rFonts w:ascii="仿宋_GB2312" w:eastAsia="仿宋_GB2312" w:hint="eastAsia"/>
                <w:color w:val="000000"/>
                <w:sz w:val="28"/>
                <w:szCs w:val="28"/>
              </w:rPr>
              <w:t>内部发送：</w:t>
            </w:r>
            <w:bookmarkStart w:id="10" w:name="TInternalSendTo"/>
            <w:bookmarkEnd w:id="10"/>
            <w:r>
              <w:rPr>
                <w:rFonts w:ascii="仿宋_GB2312" w:eastAsia="仿宋_GB2312" w:hint="eastAsia"/>
                <w:color w:val="000000"/>
                <w:sz w:val="28"/>
                <w:szCs w:val="28"/>
              </w:rPr>
              <w:t>办公室、国际收支处（外汇综合处）、经常项目管理处、资本</w:t>
            </w:r>
          </w:p>
          <w:p w:rsidR="00551DAA" w:rsidRDefault="00551DAA">
            <w:pPr>
              <w:spacing w:before="120" w:after="120"/>
              <w:ind w:firstLineChars="588" w:firstLine="1646"/>
              <w:rPr>
                <w:rFonts w:ascii="仿宋_GB2312" w:eastAsia="仿宋_GB2312"/>
                <w:color w:val="000000"/>
                <w:sz w:val="28"/>
                <w:szCs w:val="28"/>
              </w:rPr>
            </w:pPr>
            <w:r>
              <w:rPr>
                <w:rFonts w:ascii="仿宋_GB2312" w:eastAsia="仿宋_GB2312" w:hint="eastAsia"/>
                <w:color w:val="000000"/>
                <w:sz w:val="28"/>
                <w:szCs w:val="28"/>
              </w:rPr>
              <w:t>项目管理处、外汇检查处（跨境办）。</w:t>
            </w:r>
          </w:p>
        </w:tc>
      </w:tr>
      <w:tr w:rsidR="00551DAA" w:rsidTr="00551DAA">
        <w:trPr>
          <w:cantSplit/>
          <w:trHeight w:val="609"/>
        </w:trPr>
        <w:tc>
          <w:tcPr>
            <w:tcW w:w="4529" w:type="dxa"/>
            <w:tcBorders>
              <w:top w:val="single" w:sz="8" w:space="0" w:color="auto"/>
              <w:left w:val="nil"/>
              <w:bottom w:val="single" w:sz="12" w:space="0" w:color="auto"/>
              <w:right w:val="nil"/>
            </w:tcBorders>
            <w:vAlign w:val="center"/>
            <w:hideMark/>
          </w:tcPr>
          <w:p w:rsidR="00551DAA" w:rsidRDefault="00551DAA">
            <w:pPr>
              <w:spacing w:before="120" w:after="120"/>
              <w:rPr>
                <w:rFonts w:ascii="仿宋_GB2312" w:eastAsia="仿宋_GB2312"/>
                <w:color w:val="000000"/>
                <w:sz w:val="28"/>
                <w:szCs w:val="28"/>
              </w:rPr>
            </w:pPr>
            <w:r>
              <w:rPr>
                <w:rFonts w:ascii="仿宋_GB2312" w:eastAsia="仿宋_GB2312" w:hint="eastAsia"/>
                <w:color w:val="000000"/>
                <w:sz w:val="28"/>
                <w:szCs w:val="28"/>
              </w:rPr>
              <w:t xml:space="preserve">  中国人民银行沈阳分行办公室</w:t>
            </w:r>
          </w:p>
        </w:tc>
        <w:tc>
          <w:tcPr>
            <w:tcW w:w="4328" w:type="dxa"/>
            <w:tcBorders>
              <w:top w:val="single" w:sz="8" w:space="0" w:color="auto"/>
              <w:left w:val="nil"/>
              <w:bottom w:val="single" w:sz="12" w:space="0" w:color="auto"/>
              <w:right w:val="nil"/>
            </w:tcBorders>
            <w:vAlign w:val="center"/>
            <w:hideMark/>
          </w:tcPr>
          <w:p w:rsidR="00551DAA" w:rsidRDefault="00551DAA">
            <w:pPr>
              <w:wordWrap w:val="0"/>
              <w:spacing w:before="120" w:after="120"/>
              <w:jc w:val="right"/>
              <w:rPr>
                <w:rFonts w:ascii="仿宋_GB2312" w:eastAsia="仿宋_GB2312"/>
                <w:color w:val="000000"/>
                <w:sz w:val="28"/>
                <w:szCs w:val="28"/>
              </w:rPr>
            </w:pPr>
            <w:bookmarkStart w:id="11" w:name="TPYear"/>
            <w:bookmarkEnd w:id="11"/>
            <w:r>
              <w:rPr>
                <w:rFonts w:ascii="仿宋_GB2312" w:eastAsia="仿宋_GB2312" w:hint="eastAsia"/>
                <w:color w:val="000000"/>
                <w:sz w:val="28"/>
                <w:szCs w:val="28"/>
              </w:rPr>
              <w:t>2019年</w:t>
            </w:r>
            <w:bookmarkStart w:id="12" w:name="TPMonth"/>
            <w:bookmarkEnd w:id="12"/>
            <w:r>
              <w:rPr>
                <w:rFonts w:ascii="仿宋_GB2312" w:eastAsia="仿宋_GB2312" w:hint="eastAsia"/>
                <w:color w:val="000000"/>
                <w:sz w:val="28"/>
                <w:szCs w:val="28"/>
              </w:rPr>
              <w:t>7月</w:t>
            </w:r>
            <w:bookmarkStart w:id="13" w:name="TPDay"/>
            <w:bookmarkEnd w:id="13"/>
            <w:r>
              <w:rPr>
                <w:rFonts w:ascii="仿宋_GB2312" w:eastAsia="仿宋_GB2312" w:hint="eastAsia"/>
                <w:color w:val="000000"/>
                <w:sz w:val="28"/>
                <w:szCs w:val="28"/>
              </w:rPr>
              <w:t xml:space="preserve">12日印发　</w:t>
            </w:r>
          </w:p>
        </w:tc>
      </w:tr>
    </w:tbl>
    <w:p w:rsidR="00551DAA" w:rsidRDefault="00551DAA" w:rsidP="00551DAA">
      <w:pPr>
        <w:ind w:right="620"/>
        <w:rPr>
          <w:rFonts w:ascii="仿宋_GB2312" w:eastAsia="仿宋_GB2312"/>
          <w:color w:val="000000"/>
          <w:sz w:val="32"/>
        </w:rPr>
      </w:pPr>
    </w:p>
    <w:p w:rsidR="00DF1F76" w:rsidRDefault="00DF1F76"/>
    <w:sectPr w:rsidR="00DF1F76" w:rsidSect="004526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70B" w:rsidRDefault="0061270B" w:rsidP="00551DAA">
      <w:r>
        <w:separator/>
      </w:r>
    </w:p>
  </w:endnote>
  <w:endnote w:type="continuationSeparator" w:id="1">
    <w:p w:rsidR="0061270B" w:rsidRDefault="0061270B" w:rsidP="00551D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70B" w:rsidRDefault="0061270B" w:rsidP="00551DAA">
      <w:r>
        <w:separator/>
      </w:r>
    </w:p>
  </w:footnote>
  <w:footnote w:type="continuationSeparator" w:id="1">
    <w:p w:rsidR="0061270B" w:rsidRDefault="0061270B" w:rsidP="00551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1DAA"/>
    <w:rsid w:val="002D2940"/>
    <w:rsid w:val="004526AF"/>
    <w:rsid w:val="00551DAA"/>
    <w:rsid w:val="0061270B"/>
    <w:rsid w:val="00DF1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A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1D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51DAA"/>
    <w:rPr>
      <w:sz w:val="18"/>
      <w:szCs w:val="18"/>
    </w:rPr>
  </w:style>
  <w:style w:type="paragraph" w:styleId="a4">
    <w:name w:val="footer"/>
    <w:basedOn w:val="a"/>
    <w:link w:val="Char0"/>
    <w:uiPriority w:val="99"/>
    <w:semiHidden/>
    <w:unhideWhenUsed/>
    <w:rsid w:val="00551D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51DAA"/>
    <w:rPr>
      <w:sz w:val="18"/>
      <w:szCs w:val="18"/>
    </w:rPr>
  </w:style>
</w:styles>
</file>

<file path=word/webSettings.xml><?xml version="1.0" encoding="utf-8"?>
<w:webSettings xmlns:r="http://schemas.openxmlformats.org/officeDocument/2006/relationships" xmlns:w="http://schemas.openxmlformats.org/wordprocessingml/2006/main">
  <w:divs>
    <w:div w:id="14957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Words>
  <Characters>1228</Characters>
  <Application>Microsoft Office Word</Application>
  <DocSecurity>0</DocSecurity>
  <Lines>10</Lines>
  <Paragraphs>2</Paragraphs>
  <ScaleCrop>false</ScaleCrop>
  <Company>PBC-SYB</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pbc-user</dc:creator>
  <cp:lastModifiedBy>张莹</cp:lastModifiedBy>
  <cp:revision>2</cp:revision>
  <dcterms:created xsi:type="dcterms:W3CDTF">2022-11-10T07:37:00Z</dcterms:created>
  <dcterms:modified xsi:type="dcterms:W3CDTF">2022-11-10T07:37:00Z</dcterms:modified>
</cp:coreProperties>
</file>