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地（市）分局办理的非银行债务人借用外债登记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【000171108007】</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境内机构外债、跨境担保核准【00017110800Y】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地（市）分局办理的非银行债务人借用外债登记【000171108007】</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（1）地（市）分局办理的非银行债务人借用外债签约登记(00017110800701)</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（2）地（市）分局办理的非银行债务人借用外债变更登记(00017110800702)</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（3）地（市）分局办理的非银行债务人借用外债注销登记(00017110800703)</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（4）地（市）分局办理的非银行债务人非资金划转类提款登记(00017110800704)</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（5）地（市）分局办理的非银行债务人非资金划转类还本付息登记(00017110800705)</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（1）《中华人民共和国外汇管理条例》第十八条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（2）《国务院对确需保留的行政审批项目设定行政许可的决定》附件第471项</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（1）《国家外汇管理局关于发布〈外债登记管理办法〉的通知》（汇发〔2013〕19号）第三、六条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（2）《中国人民银行关于全口径跨境融资宏观审慎管理有关事宜的通知》（银发〔2017〕9号）第三、十条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（3）《国家外汇管理局关于进一步促进跨境贸易投资便利化的通知》（汇发〔2019〕28号）第六条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（5）《外债登记管理操作指引》（汇发〔2013〕19号附件2）第四、五条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（6）《资本项目外汇业务指引（2024版）》（汇发[2024]12号）3.3</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（7）《融资租赁公司监督管理暂行办法》（银保监发〔2020〕22号）第二十七条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（8）《中国人民银行 国家外汇管理局关于境外机构境内发行债券资金管理有关事宜的通知》（银发〔2022〕272号）第五条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非银行债务人外债登记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地（市）分局办理的非银行债务人外债登记-外债新办登记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申请人为按照规定可以举借外债的财政部门、银行以外的其他境内债务人（以下简称“非银行债务人”）。 企业和金融机构开展跨境融资按风险加权计算余额(指已提用未偿余额),风险加权余额不得超过上限,即:跨境融资风险加权余额≤跨境融资风险加权余额上限。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发展改革委部门备案借用外债的，可以按经备案的金额办理外债签约登记。外债签约登记完成后，跨境融资风险加权余额尚未超过跨境融资风险加权余额上限的，仍可正常办理新签约外债登记，超过上限的，除发展改革部门另行批准外，不得再办理新的外债签约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地（市）分局办理的非银行债务人借用变更登记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已办理签约登记的外债合同主要条款及内容发生变化，如期限（展期等）、金额、债权人等，非银行债务人应办理外债签约变更登记。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地（市）分局办理的非银行债务人借用外债注销登记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符合在银行办理外债注销登记条件（如债务人因债务减免、债转股等无需偿还外债本息）的。银行办理注销登记需符合以下条件：（1）已登记外债余额为零且不再发生提款；（2）已登记外债完成所有还本付息业务且不再发生提款，但由于扣划手续费等合理原因导致未偿余额不为零，银行能够核实并确定未偿余额不为零的合理原因。</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地（市）分局办理的非银行债务人非资金划转类提款登记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非银行债务人外债提款额或外债本金余额发生变动，但未通过境内银行办理收款从而无法向资本项目信息系统反馈外债提款信息的。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地（市）分局办理的非银行债务人非资金划转类还本付息登记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非银行债务人外债还款额或外债本金余额发生变动，但未通过境内银行办理付款从而无法向资本项目信息系统反馈外债还款信息的。</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（1）《国家外汇管理局关于发布〈外债登记管理办法〉的通知》（汇发〔2013〕19号）第六、九条第六条：外债借款合同发生变更时，债务人应按照规定到外汇局办理外债签约变更登记。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第九条：债务人为财政部门、银行以外的其他境内债务人（以下简称非银行债务人），应在规定时间内到所在地外汇局办理外债签约逐笔登记或备案手续。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（2）《中国人民银行关于全口径跨境融资宏观审慎管理有关事宜的通知》（银发〔2017〕9号）第一、三、九条第一条本通知适用的企业仅限非金融企业，且不包括政府融资平台和房地产企业。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第三条企业和金融机构开展跨境融资按风险加权计算余额(指已提用未偿余额),风险加权余额不得超过上限,即:跨境融资风险加权余额≤跨境融资风险加权余额上限。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九条企业和金融机构因风险转换因子、跨境融资杠杆率和宏观审慎调节参数调整导致跨境融资风险加权余额超出上限的,原有跨境融资合约可持有到期;在跨境融资风险加权余额调整到上限内之前,不得办理包括跨境融资展期在内的新的跨境融资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外债登记管理操作指引》（汇发〔2013〕19号文印发）附件2一、非银行债务人办理外债签约登记审核原则，6.外商投资房地产企业的外债按以下原则管理（2）对2007年6月1日以前（不含）成立的外商投资房地产企业，可在原“投注差”范围内按相关规定举借外债；增资后“投注差”小于其增资前“投注差”的，以增资后“投注差”为准。（3）外商投资房地产企业注册资本未全部缴付的，或未取得《国有土地使用证》的，或开发项目资本金未达到项目投资总额的35%的，不得向境外借用外债，外汇局不予办理外债登记和外债结汇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（4）《资本项目外汇业务指引（2024版）》（汇发[2024]12号）3.3和3.4全文</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开展“双随机、一公开”监管，依法查处违规行为，适时公开相关案例。</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依法及时处理投诉举报。</w:t>
      </w: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（1）地（市）分局办理的非银行债务人外债登记-外债新办登记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选择宏观审慎模式的机构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①书面申请，并附《宏观审慎跨境融资风险加权余额情况表（企业版）》。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②外债合同或主要条款复印件（境外发行债券的，需提供认购协议或全球债券证书等证明材料）。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③上年度或最近一期经审计的财务报告。</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④其他相关批准文件（发展改革部门审核登记文件，如有）。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⑤营业执照。</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选择“投注差”模式的外商投资企业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②外债合同或主要条款复印件（境外发行债券的，需提供认购协议或全球债券证书等证明材料）。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③营业执照。</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（2）地（市）分局办理的非银行债务人借用外债变更登记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原《境内机构外债签约情况表》。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变更事项的真实性证明材料。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（3）地（市）分局办理的非银行债务人借用外债注销登记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原《境内机构外债签约情况表》。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（4）地（市）分局办理的非银行债务人非资金划转类提款登记 </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非银行债务人非资金划转类提款业务真实性证明材料。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（5）地（市）分局办理的非银行债务人非资金划转类还本付息登记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非银行债务人非资金划转类还本付息业务真实性证明材料。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国人民银行关于全口径跨境融资宏观审慎管理有关事宜的通知》（银发〔2017〕9号）第二条国家外汇管理局对企业和除27家银行类金融机构以外的其他金融机构跨境融资进行管理，……企业应每年及时更新跨境融资以及权益相关的信息（包括境外债权人、借款期限、金额、利率和自身净资产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外债登记管理操作指引》（汇发〔2013〕19号附件2）第四、五条四、非银行债务人办理非资金划转类提款备案。审核材料：1.申请书。2.相关材料：（1）根据债务人指令由债权人在贷款项下直接办理对境内、外货物或服务提供商支付的，应提供交易合同、债权人付款确认通知等；（2）以实物形式办理提款的，应提供已办理实物提款的证明材料（外债签约登记日期应在报关日期之前）；（3）利息本金化的，应提供利息本金化协议或通知；（4）其他可能导致外债提款额或外债本金余额发生变动但无法通过境内银行向外汇局反馈相关数据的情形，应提供证明交易真实性的材料。3.针对前述材料应当提供的补充说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银行债务人办理非资金划转类还本付息登记。审核材料：1.申请书。2.相关材料：（1）减免债务本金和利息的，应提供债权人出具的豁免通知或其他相关证明文件；（2）债权转股权等债务重组的，应提供境外债权人确认书、商务主管部门批复文件（文件中需明确企业增资的资金来源为已登记外债）；（3）境内、外担保人代债务人履行债务偿还责任的，应提供担保人已经履约的证明文件；（4）通过非银行债务人境外账户偿还债务和利息的，应提供境外支付证明材料；（5）其他可能导致外债还款额或外债本金余额发生变动但无法通过境内银行向外汇局反馈相关数据的情形，应提供证明交易真实性的材料。3.针对前述材料应当提供的补充说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（4）《资本项目外汇业务指引（2024版）》（汇发[2024]12号）3.3和3.4全文</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国家外汇管理局关于发布〈外债登记管理办法〉的通知》（汇发〔2013〕19号）第六条外债登记是指债务人按规定借用外债后，应按照规定方式向所在地外汇局登记或报送外债的签约、提款、偿还和结售汇等信息。附件2“一非银行债务人办理外债签约登记”审核材料</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有</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经审计的财务报告</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（1）《资本项目外汇业务指引（2024版）》（汇发[2024]12号）3.33.3.3.1外债签约登记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（1）选择宏观审慎模式的机构</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……③上年度或最近一期经审计的财务报告。</w:t>
      </w:r>
    </w:p>
    <w:p>
      <w:pPr>
        <w:spacing w:line="600" w:lineRule="exact"/>
        <w:ind w:firstLine="562" w:firstLineChars="200"/>
        <w:rPr>
          <w:rFonts w:ascii="Times New Roman" w:hAnsi="Times New Roman" w:eastAsia="仿宋GB2312"/>
          <w:sz w:val="28"/>
          <w:szCs w:val="28"/>
        </w:rPr>
      </w:pPr>
      <w:bookmarkStart w:id="0" w:name="_GoBack"/>
      <w:bookmarkEnd w:id="0"/>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会计师事务所等具有财务报告审计资格的机构</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经营服务性收费（市场调节价）</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《境内机构外债签约情况表》《业务登记凭证》/《外债变动反馈情况表》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4A60"/>
    <w:rsid w:val="0019105A"/>
    <w:rsid w:val="00200E57"/>
    <w:rsid w:val="002D3042"/>
    <w:rsid w:val="002D32F8"/>
    <w:rsid w:val="003A7312"/>
    <w:rsid w:val="00623BDC"/>
    <w:rsid w:val="007A262F"/>
    <w:rsid w:val="00881410"/>
    <w:rsid w:val="008B1533"/>
    <w:rsid w:val="008B5B58"/>
    <w:rsid w:val="00A94A51"/>
    <w:rsid w:val="00B34E4F"/>
    <w:rsid w:val="00B956C8"/>
    <w:rsid w:val="00E06313"/>
    <w:rsid w:val="00FA4A60"/>
    <w:rsid w:val="00FB62B1"/>
    <w:rsid w:val="1A33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1064</Words>
  <Characters>6067</Characters>
  <Lines>50</Lines>
  <Paragraphs>14</Paragraphs>
  <TotalTime>0</TotalTime>
  <ScaleCrop>false</ScaleCrop>
  <LinksUpToDate>false</LinksUpToDate>
  <CharactersWithSpaces>7117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2023-09-28T04:31:00Z</dcterms:created>
  <dc:creator>kylin</dc:creator>
  <cp:lastModifiedBy>李星诺</cp:lastModifiedBy>
  <dcterms:modified xsi:type="dcterms:W3CDTF">2025-11-17T02:53:59Z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