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color w:val="auto"/>
          <w:sz w:val="48"/>
          <w:szCs w:val="48"/>
        </w:rPr>
      </w:pPr>
      <w:r>
        <w:rPr>
          <w:rFonts w:ascii="Times New Roman" w:hAnsi="Times New Roman" w:eastAsia="黑体" w:cs="Times New Roman"/>
          <w:color w:val="auto"/>
          <w:sz w:val="48"/>
          <w:szCs w:val="48"/>
        </w:rPr>
        <w:t xml:space="preserve">编号：57001-2              </w:t>
      </w:r>
      <w:r>
        <w:rPr>
          <w:rFonts w:ascii="Times New Roman" w:hAnsi="Times New Roman" w:eastAsia="黑体" w:cs="Times New Roman"/>
          <w:color w:val="auto"/>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52"/>
          <w:szCs w:val="52"/>
        </w:rPr>
      </w:pP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 xml:space="preserve">“进口付汇事前审核” </w:t>
      </w: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行政审批服务指南</w: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both"/>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发布机构：</w:t>
      </w:r>
      <w:r>
        <w:rPr>
          <w:rFonts w:hint="eastAsia" w:ascii="Times New Roman" w:hAnsi="Times New Roman" w:eastAsia="仿宋_GB2312" w:cs="Times New Roman"/>
          <w:color w:val="auto"/>
          <w:sz w:val="30"/>
          <w:szCs w:val="30"/>
        </w:rPr>
        <w:t>国家外汇管理局吉林省分局</w:t>
      </w: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sectPr>
          <w:footerReference r:id="rId4" w:type="default"/>
          <w:pgSz w:w="11906" w:h="16838"/>
          <w:pgMar w:top="1440" w:right="1800" w:bottom="1440" w:left="1800" w:header="851" w:footer="992" w:gutter="0"/>
          <w:cols w:space="720" w:num="1"/>
          <w:docGrid w:type="lines" w:linePitch="312"/>
        </w:sectPr>
      </w:pPr>
    </w:p>
    <w:p>
      <w:pPr>
        <w:jc w:val="left"/>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 xml:space="preserve">    一、项目信息</w:t>
      </w:r>
    </w:p>
    <w:p>
      <w:pPr>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项目名称：进口单位进口付汇核查；</w:t>
      </w:r>
    </w:p>
    <w:p>
      <w:pPr>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项目编号：57001；</w:t>
      </w:r>
    </w:p>
    <w:p>
      <w:pPr>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子项名称：进口付汇事前审核；</w:t>
      </w:r>
    </w:p>
    <w:p>
      <w:pPr>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审批类别：行政许可。</w:t>
      </w:r>
    </w:p>
    <w:p>
      <w:pPr>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二、适用范围</w:t>
      </w:r>
    </w:p>
    <w:p>
      <w:pPr>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本指南适用于“进口付汇事前审核”的申请和办理。</w:t>
      </w:r>
    </w:p>
    <w:p>
      <w:pPr>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三、设定依据</w:t>
      </w:r>
    </w:p>
    <w:p>
      <w:pPr>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四、办理依据</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（一）《中华人民共和国外汇管理条例》（国务院令第532号）；</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（三）《国家外汇管理局关于印发〈跨国公司跨境资金集中运营管理规定〉的通知》（汇发〔2019〕7号）；</w:t>
      </w:r>
    </w:p>
    <w:p>
      <w:pPr>
        <w:ind w:firstLine="600" w:firstLineChars="200"/>
        <w:rPr>
          <w:rFonts w:ascii="Times New Roman" w:hAnsi="Times New Roman" w:eastAsia="仿宋_GB2312" w:cs="Times New Roman"/>
          <w:color w:val="auto"/>
          <w:sz w:val="30"/>
          <w:szCs w:val="30"/>
          <w:lang w:bidi="zh-CN"/>
        </w:rPr>
      </w:pPr>
      <w:r>
        <w:rPr>
          <w:rFonts w:ascii="Times New Roman" w:hAnsi="Times New Roman" w:eastAsia="仿宋_GB2312" w:cs="Times New Roman"/>
          <w:color w:val="auto"/>
          <w:sz w:val="30"/>
          <w:szCs w:val="30"/>
        </w:rPr>
        <w:t>（四）</w:t>
      </w:r>
      <w:r>
        <w:rPr>
          <w:rFonts w:ascii="Times New Roman" w:hAnsi="Times New Roman" w:eastAsia="仿宋_GB2312" w:cs="Times New Roman"/>
          <w:color w:val="auto"/>
          <w:sz w:val="30"/>
          <w:szCs w:val="30"/>
          <w:lang w:bidi="zh-CN"/>
        </w:rPr>
        <w:t>《国家外汇管理局关于优化外汇管理 支持涉外业务发展的通知》（汇发〔2020〕8号）；</w:t>
      </w:r>
    </w:p>
    <w:p>
      <w:pPr>
        <w:ind w:firstLine="600" w:firstLineChars="200"/>
        <w:rPr>
          <w:rFonts w:ascii="Times New Roman" w:hAnsi="Times New Roman" w:eastAsia="仿宋_GB2312" w:cs="Times New Roman"/>
          <w:color w:val="auto"/>
          <w:sz w:val="30"/>
          <w:szCs w:val="30"/>
          <w:lang w:bidi="zh-CN"/>
        </w:rPr>
      </w:pPr>
      <w:r>
        <w:rPr>
          <w:rFonts w:ascii="Times New Roman" w:hAnsi="Times New Roman" w:eastAsia="仿宋_GB2312" w:cs="Times New Roman"/>
          <w:color w:val="auto"/>
          <w:sz w:val="30"/>
          <w:szCs w:val="30"/>
        </w:rPr>
        <w:t>（五）《国家外汇管理局关于印发〈经常项目外汇业务指引（2020年版）〉的通知》（汇发〔2020〕14号）</w:t>
      </w:r>
      <w:r>
        <w:rPr>
          <w:rFonts w:ascii="Times New Roman" w:hAnsi="Times New Roman" w:eastAsia="仿宋_GB2312" w:cs="Times New Roman"/>
          <w:color w:val="auto"/>
          <w:sz w:val="30"/>
          <w:szCs w:val="30"/>
          <w:lang w:bidi="zh-CN"/>
        </w:rPr>
        <w:t>。</w:t>
      </w: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五、受理机构</w:t>
      </w:r>
    </w:p>
    <w:p>
      <w:pPr>
        <w:ind w:firstLine="600" w:firstLineChars="200"/>
        <w:rPr>
          <w:rFonts w:ascii="Times New Roman" w:hAnsi="Times New Roman" w:eastAsia="黑体" w:cs="Times New Roman"/>
          <w:color w:val="auto"/>
          <w:sz w:val="30"/>
          <w:szCs w:val="30"/>
        </w:rPr>
      </w:pPr>
      <w:r>
        <w:rPr>
          <w:rFonts w:ascii="Times New Roman" w:hAnsi="Times New Roman" w:eastAsia="仿宋_GB2312" w:cs="Times New Roman"/>
          <w:color w:val="auto"/>
          <w:sz w:val="30"/>
          <w:szCs w:val="30"/>
        </w:rPr>
        <w:t>申请人注册所在地国家外汇管理局</w:t>
      </w:r>
      <w:r>
        <w:rPr>
          <w:rFonts w:hint="eastAsia" w:ascii="Times New Roman" w:hAnsi="Times New Roman" w:eastAsia="仿宋_GB2312" w:cs="Times New Roman"/>
          <w:color w:val="auto"/>
          <w:sz w:val="30"/>
          <w:szCs w:val="30"/>
          <w:lang w:eastAsia="zh-CN"/>
        </w:rPr>
        <w:t>分支机构</w:t>
      </w:r>
      <w:r>
        <w:rPr>
          <w:rFonts w:ascii="Times New Roman" w:hAnsi="Times New Roman" w:eastAsia="仿宋_GB2312" w:cs="Times New Roman"/>
          <w:color w:val="auto"/>
          <w:sz w:val="30"/>
          <w:szCs w:val="30"/>
        </w:rPr>
        <w:t>。</w:t>
      </w: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六、决定机构</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跨国公司资金集中运营-经常项目资金集中收付和轧差净额结算业务相关行政许可的决定机构为国家外汇管理局</w:t>
      </w:r>
      <w:r>
        <w:rPr>
          <w:rFonts w:hint="eastAsia" w:ascii="Times New Roman" w:hAnsi="Times New Roman" w:eastAsia="仿宋_GB2312" w:cs="Times New Roman"/>
          <w:color w:val="auto"/>
          <w:sz w:val="30"/>
          <w:szCs w:val="30"/>
          <w:lang w:eastAsia="zh-CN"/>
        </w:rPr>
        <w:t>吉林省</w:t>
      </w:r>
      <w:r>
        <w:rPr>
          <w:rFonts w:ascii="Times New Roman" w:hAnsi="Times New Roman" w:eastAsia="仿宋_GB2312" w:cs="Times New Roman"/>
          <w:color w:val="auto"/>
          <w:sz w:val="30"/>
          <w:szCs w:val="30"/>
        </w:rPr>
        <w:t>分局</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其他行政许可的决定机构为申请人注册所在地国家外汇管理局</w:t>
      </w:r>
      <w:r>
        <w:rPr>
          <w:rFonts w:hint="eastAsia" w:ascii="Times New Roman" w:hAnsi="Times New Roman" w:eastAsia="仿宋_GB2312" w:cs="Times New Roman"/>
          <w:color w:val="auto"/>
          <w:sz w:val="30"/>
          <w:szCs w:val="30"/>
          <w:lang w:eastAsia="zh-CN"/>
        </w:rPr>
        <w:t>分支机构</w:t>
      </w:r>
      <w:r>
        <w:rPr>
          <w:rFonts w:ascii="Times New Roman" w:hAnsi="Times New Roman" w:eastAsia="仿宋_GB2312" w:cs="Times New Roman"/>
          <w:color w:val="auto"/>
          <w:sz w:val="30"/>
          <w:szCs w:val="30"/>
        </w:rPr>
        <w:t>。</w:t>
      </w: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七、审批数量</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无数量限制。</w:t>
      </w: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八、办事条件</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（一）申请人条件</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1.C类企业；</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2.超过付汇额度的B类企业；</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3.发生90天以上（不含）延期付款的B类企业；</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5.办理经常项目资金集中收付和轧差净额结算业务的跨国公司主办企业；</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6.办理新出现的贸易新业态外汇支出业务的企业。</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（二）具备或符合如下条件的，准予批准</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1.对于C类企业：</w:t>
      </w:r>
    </w:p>
    <w:p>
      <w:pPr>
        <w:ind w:firstLine="600" w:firstLineChars="200"/>
        <w:contextualSpacing/>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2.对于超过付汇额度的B类企业：</w:t>
      </w:r>
    </w:p>
    <w:p>
      <w:pPr>
        <w:ind w:firstLine="600" w:firstLineChars="200"/>
        <w:contextualSpacing/>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3.对于90天以上（不含）延期付款的B类企业：</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4.对于超期限或无法原路退汇的企业：</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交易合规。</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（1）具备真实业务需求；</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（2）具有完善的跨境资金管理架构、内控制度；</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（3）建立相应的内部管理电子系统；</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（7）国家外汇管理局规定的其他审慎监管条件。</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6.对于新出现的贸易新业态外汇支出业务：</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交易合规。</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禁止性要求：1.申请材料不齐全，不符合法规规定。</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            2.申请业务不具有真实、合法的交易背景。</w:t>
      </w: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九、申请材料</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（一）C类企业进口付汇登记申请材料清单</w:t>
      </w:r>
    </w:p>
    <w:tbl>
      <w:tblPr>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346"/>
        <w:gridCol w:w="1417"/>
        <w:gridCol w:w="425"/>
        <w:gridCol w:w="851"/>
        <w:gridCol w:w="2268"/>
        <w:gridCol w:w="992"/>
      </w:tblGrid>
      <w:tr>
        <w:tc>
          <w:tcPr>
            <w:tcW w:w="456"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2346"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41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425"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电子</w:t>
            </w:r>
          </w:p>
        </w:tc>
        <w:tc>
          <w:tcPr>
            <w:tcW w:w="2268"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99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45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234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42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268"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对于代理进口业务，代理方为C类企业的，应当按规定办理贸易外汇支出登记。</w:t>
            </w:r>
          </w:p>
          <w:p>
            <w:pPr>
              <w:jc w:val="center"/>
              <w:rPr>
                <w:rFonts w:ascii="Times New Roman" w:hAnsi="Times New Roman" w:eastAsia="仿宋_GB2312" w:cs="Times New Roman"/>
                <w:color w:val="auto"/>
                <w:sz w:val="24"/>
                <w:szCs w:val="24"/>
              </w:rPr>
            </w:pPr>
          </w:p>
        </w:tc>
      </w:tr>
      <w:tr>
        <w:tc>
          <w:tcPr>
            <w:tcW w:w="45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2346" w:type="dxa"/>
            <w:vAlign w:val="center"/>
          </w:tcPr>
          <w:p>
            <w:pPr>
              <w:jc w:val="center"/>
              <w:rPr>
                <w:rFonts w:ascii="Times New Roman" w:hAnsi="Times New Roman" w:eastAsia="仿宋_GB2312" w:cs="Times New Roman"/>
                <w:b/>
                <w:bCs/>
                <w:color w:val="auto"/>
                <w:kern w:val="44"/>
                <w:sz w:val="24"/>
                <w:szCs w:val="24"/>
              </w:rPr>
            </w:pPr>
            <w:r>
              <w:rPr>
                <w:rFonts w:ascii="Times New Roman" w:hAnsi="Times New Roman" w:eastAsia="仿宋_GB2312" w:cs="Times New Roman"/>
                <w:color w:val="auto"/>
                <w:sz w:val="24"/>
                <w:szCs w:val="24"/>
              </w:rPr>
              <w:t>合同</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2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268"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1.一般情况应提交进口合同；2.对于贸易收汇的退汇支付，因错误汇入以外的其他原因产生的，提交原出口合同。</w:t>
            </w:r>
          </w:p>
        </w:tc>
        <w:tc>
          <w:tcPr>
            <w:tcW w:w="992" w:type="dxa"/>
            <w:vMerge w:val="continue"/>
            <w:vAlign w:val="top"/>
          </w:tcPr>
          <w:p>
            <w:pPr>
              <w:rPr>
                <w:rFonts w:ascii="Times New Roman" w:hAnsi="Times New Roman" w:eastAsia="仿宋_GB2312" w:cs="Times New Roman"/>
                <w:color w:val="auto"/>
                <w:sz w:val="24"/>
                <w:szCs w:val="24"/>
              </w:rPr>
            </w:pPr>
          </w:p>
        </w:tc>
      </w:tr>
      <w:tr>
        <w:tc>
          <w:tcPr>
            <w:tcW w:w="45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234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发票</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2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268"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预付货款方式结算时提供发票。</w:t>
            </w:r>
          </w:p>
        </w:tc>
        <w:tc>
          <w:tcPr>
            <w:tcW w:w="992" w:type="dxa"/>
            <w:vMerge w:val="continue"/>
            <w:vAlign w:val="top"/>
          </w:tcPr>
          <w:p>
            <w:pPr>
              <w:rPr>
                <w:rFonts w:ascii="Times New Roman" w:hAnsi="Times New Roman" w:eastAsia="仿宋_GB2312" w:cs="Times New Roman"/>
                <w:color w:val="auto"/>
                <w:sz w:val="24"/>
                <w:szCs w:val="24"/>
              </w:rPr>
            </w:pPr>
          </w:p>
        </w:tc>
      </w:tr>
      <w:tr>
        <w:tc>
          <w:tcPr>
            <w:tcW w:w="45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p>
        </w:tc>
        <w:tc>
          <w:tcPr>
            <w:tcW w:w="234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报关单</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2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268"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vAlign w:val="top"/>
          </w:tcPr>
          <w:p>
            <w:pPr>
              <w:rPr>
                <w:rFonts w:ascii="Times New Roman" w:hAnsi="Times New Roman" w:eastAsia="仿宋_GB2312" w:cs="Times New Roman"/>
                <w:color w:val="auto"/>
                <w:sz w:val="24"/>
                <w:szCs w:val="24"/>
              </w:rPr>
            </w:pPr>
          </w:p>
        </w:tc>
      </w:tr>
      <w:tr>
        <w:tc>
          <w:tcPr>
            <w:tcW w:w="45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w:t>
            </w:r>
          </w:p>
        </w:tc>
        <w:tc>
          <w:tcPr>
            <w:tcW w:w="234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捐赠协议</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2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268"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对于进口与支出主体不一致的业务，属于捐赠进口业务的，应提交捐赠协议。</w:t>
            </w:r>
          </w:p>
        </w:tc>
        <w:tc>
          <w:tcPr>
            <w:tcW w:w="992" w:type="dxa"/>
            <w:vMerge w:val="continue"/>
            <w:vAlign w:val="top"/>
          </w:tcPr>
          <w:p>
            <w:pPr>
              <w:rPr>
                <w:rFonts w:ascii="Times New Roman" w:hAnsi="Times New Roman" w:eastAsia="仿宋_GB2312" w:cs="Times New Roman"/>
                <w:color w:val="auto"/>
                <w:sz w:val="24"/>
                <w:szCs w:val="24"/>
              </w:rPr>
            </w:pPr>
          </w:p>
        </w:tc>
      </w:tr>
      <w:tr>
        <w:tc>
          <w:tcPr>
            <w:tcW w:w="45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w:t>
            </w:r>
          </w:p>
        </w:tc>
        <w:tc>
          <w:tcPr>
            <w:tcW w:w="234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分立、合并证明文件</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2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268"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因企业分立、合并原因导致进口与支出主体不一致的，应提交相关部门出具的分立、合并证明文件。 </w:t>
            </w:r>
          </w:p>
        </w:tc>
        <w:tc>
          <w:tcPr>
            <w:tcW w:w="992" w:type="dxa"/>
            <w:vMerge w:val="continue"/>
            <w:vAlign w:val="top"/>
          </w:tcPr>
          <w:p>
            <w:pPr>
              <w:rPr>
                <w:rFonts w:ascii="Times New Roman" w:hAnsi="Times New Roman" w:eastAsia="仿宋_GB2312" w:cs="Times New Roman"/>
                <w:color w:val="auto"/>
                <w:sz w:val="24"/>
                <w:szCs w:val="24"/>
              </w:rPr>
            </w:pPr>
          </w:p>
        </w:tc>
      </w:tr>
      <w:tr>
        <w:tc>
          <w:tcPr>
            <w:tcW w:w="45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w:t>
            </w:r>
          </w:p>
        </w:tc>
        <w:tc>
          <w:tcPr>
            <w:tcW w:w="2346" w:type="dxa"/>
            <w:vAlign w:val="center"/>
          </w:tcPr>
          <w:p>
            <w:pPr>
              <w:jc w:val="center"/>
              <w:rPr>
                <w:rStyle w:val="12"/>
                <w:rFonts w:ascii="Times New Roman" w:hAnsi="Times New Roman" w:cs="Times New Roman"/>
                <w:color w:val="auto"/>
              </w:rPr>
            </w:pPr>
            <w:r>
              <w:rPr>
                <w:rFonts w:ascii="Times New Roman" w:hAnsi="Times New Roman" w:eastAsia="仿宋_GB2312" w:cs="Times New Roman"/>
                <w:color w:val="auto"/>
                <w:sz w:val="24"/>
                <w:szCs w:val="24"/>
              </w:rPr>
              <w:t>原收汇凭证</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2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268" w:type="dxa"/>
            <w:vAlign w:val="top"/>
          </w:tcPr>
          <w:p>
            <w:pPr>
              <w:rPr>
                <w:rFonts w:ascii="Times New Roman" w:hAnsi="Times New Roman" w:eastAsia="宋体" w:cs="Times New Roman"/>
                <w:color w:val="auto"/>
                <w:kern w:val="0"/>
                <w:sz w:val="24"/>
                <w:szCs w:val="24"/>
              </w:rPr>
            </w:pPr>
            <w:r>
              <w:rPr>
                <w:rFonts w:ascii="Times New Roman" w:hAnsi="Times New Roman" w:eastAsia="仿宋_GB2312" w:cs="Times New Roman"/>
                <w:color w:val="auto"/>
                <w:sz w:val="24"/>
                <w:szCs w:val="24"/>
              </w:rPr>
              <w:t>贸易收汇退汇时提供原收汇凭证。</w:t>
            </w:r>
          </w:p>
        </w:tc>
        <w:tc>
          <w:tcPr>
            <w:tcW w:w="992" w:type="dxa"/>
            <w:vMerge w:val="continue"/>
            <w:vAlign w:val="top"/>
          </w:tcPr>
          <w:p>
            <w:pPr>
              <w:rPr>
                <w:rFonts w:ascii="Times New Roman" w:hAnsi="Times New Roman" w:eastAsia="仿宋_GB2312" w:cs="Times New Roman"/>
                <w:color w:val="auto"/>
                <w:sz w:val="24"/>
                <w:szCs w:val="24"/>
              </w:rPr>
            </w:pPr>
          </w:p>
        </w:tc>
      </w:tr>
      <w:tr>
        <w:tc>
          <w:tcPr>
            <w:tcW w:w="45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w:t>
            </w:r>
          </w:p>
        </w:tc>
        <w:tc>
          <w:tcPr>
            <w:tcW w:w="2346" w:type="dxa"/>
            <w:vAlign w:val="center"/>
          </w:tcPr>
          <w:p>
            <w:pPr>
              <w:jc w:val="center"/>
              <w:rPr>
                <w:rStyle w:val="12"/>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退汇协议、错汇说明等证明付汇真实性的材料</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2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268" w:type="dxa"/>
            <w:vAlign w:val="top"/>
          </w:tcPr>
          <w:p>
            <w:pPr>
              <w:widowControl/>
              <w:jc w:val="left"/>
              <w:rPr>
                <w:rFonts w:ascii="Times New Roman" w:hAnsi="Times New Roman" w:eastAsia="仿宋_GB2312" w:cs="Times New Roman"/>
                <w:color w:val="auto"/>
                <w:kern w:val="0"/>
                <w:sz w:val="24"/>
                <w:szCs w:val="24"/>
              </w:rPr>
            </w:pPr>
          </w:p>
        </w:tc>
        <w:tc>
          <w:tcPr>
            <w:tcW w:w="992" w:type="dxa"/>
            <w:vMerge w:val="continue"/>
            <w:vAlign w:val="top"/>
          </w:tcPr>
          <w:p>
            <w:pPr>
              <w:rPr>
                <w:rFonts w:ascii="Times New Roman" w:hAnsi="Times New Roman" w:eastAsia="仿宋_GB2312" w:cs="Times New Roman"/>
                <w:color w:val="auto"/>
                <w:sz w:val="24"/>
                <w:szCs w:val="24"/>
              </w:rPr>
            </w:pPr>
          </w:p>
        </w:tc>
      </w:tr>
    </w:tbl>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（二）超过付汇额度的B类企业进口付汇登记申请材料清单</w:t>
      </w:r>
    </w:p>
    <w:tbl>
      <w:tblPr>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135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244"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电子</w:t>
            </w:r>
          </w:p>
        </w:tc>
        <w:tc>
          <w:tcPr>
            <w:tcW w:w="3218"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176"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3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p>
        </w:tc>
        <w:tc>
          <w:tcPr>
            <w:tcW w:w="124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3218"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说明为B类企业及具有超过可付汇额度付汇需要。</w:t>
            </w:r>
          </w:p>
        </w:tc>
        <w:tc>
          <w:tcPr>
            <w:tcW w:w="1176" w:type="dxa"/>
            <w:vMerge w:val="restart"/>
            <w:vAlign w:val="center"/>
          </w:tcPr>
          <w:p>
            <w:pPr>
              <w:rPr>
                <w:rFonts w:ascii="Times New Roman" w:hAnsi="Times New Roman" w:eastAsia="仿宋_GB2312" w:cs="Times New Roman"/>
                <w:color w:val="auto"/>
                <w:sz w:val="24"/>
                <w:szCs w:val="24"/>
              </w:rPr>
            </w:pPr>
          </w:p>
          <w:p>
            <w:pPr>
              <w:rPr>
                <w:rFonts w:ascii="Times New Roman" w:hAnsi="Times New Roman" w:eastAsia="仿宋_GB2312" w:cs="Times New Roman"/>
                <w:color w:val="auto"/>
                <w:sz w:val="24"/>
                <w:szCs w:val="24"/>
              </w:rPr>
            </w:pPr>
          </w:p>
          <w:p>
            <w:pPr>
              <w:rPr>
                <w:rFonts w:ascii="Times New Roman" w:hAnsi="Times New Roman" w:eastAsia="仿宋_GB2312" w:cs="Times New Roman"/>
                <w:color w:val="auto"/>
                <w:sz w:val="24"/>
                <w:szCs w:val="24"/>
              </w:rPr>
            </w:pPr>
          </w:p>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对于代理业务，代理方为B类企业且可付汇额度不足的，应当按规定办理贸易外汇支出登记。</w:t>
            </w: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3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可付汇额度不足的证明材料</w:t>
            </w:r>
          </w:p>
        </w:tc>
        <w:tc>
          <w:tcPr>
            <w:tcW w:w="124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3218" w:type="dxa"/>
            <w:vAlign w:val="center"/>
          </w:tcPr>
          <w:p>
            <w:pPr>
              <w:keepNext/>
              <w:keepLines/>
              <w:spacing w:before="340" w:after="330" w:line="578" w:lineRule="auto"/>
              <w:rPr>
                <w:rFonts w:ascii="Times New Roman" w:hAnsi="Times New Roman" w:eastAsia="仿宋_GB2312" w:cs="Times New Roman"/>
                <w:color w:val="auto"/>
                <w:sz w:val="24"/>
                <w:szCs w:val="24"/>
              </w:rPr>
            </w:pPr>
          </w:p>
        </w:tc>
        <w:tc>
          <w:tcPr>
            <w:tcW w:w="1176" w:type="dxa"/>
            <w:vMerge w:val="continue"/>
            <w:vAlign w:val="center"/>
          </w:tcPr>
          <w:p>
            <w:pPr>
              <w:keepNext/>
              <w:keepLines/>
              <w:spacing w:before="340" w:after="330" w:line="578"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13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合同</w:t>
            </w:r>
          </w:p>
        </w:tc>
        <w:tc>
          <w:tcPr>
            <w:tcW w:w="124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3218"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 一般情况应提交进口合同；2.对于贸易收汇的退汇支付，因错误汇入以外的其他原因产生的，提交原出口合同。</w:t>
            </w:r>
          </w:p>
        </w:tc>
        <w:tc>
          <w:tcPr>
            <w:tcW w:w="1176" w:type="dxa"/>
            <w:vMerge w:val="continue"/>
            <w:vAlign w:val="center"/>
          </w:tcPr>
          <w:p>
            <w:pPr>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p>
        </w:tc>
        <w:tc>
          <w:tcPr>
            <w:tcW w:w="13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发票</w:t>
            </w:r>
          </w:p>
        </w:tc>
        <w:tc>
          <w:tcPr>
            <w:tcW w:w="124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3218"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预付货款方式结算时提供发票。</w:t>
            </w:r>
          </w:p>
        </w:tc>
        <w:tc>
          <w:tcPr>
            <w:tcW w:w="1176" w:type="dxa"/>
            <w:vMerge w:val="continue"/>
            <w:vAlign w:val="top"/>
          </w:tcPr>
          <w:p>
            <w:pPr>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w:t>
            </w:r>
          </w:p>
        </w:tc>
        <w:tc>
          <w:tcPr>
            <w:tcW w:w="13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报关单</w:t>
            </w:r>
          </w:p>
        </w:tc>
        <w:tc>
          <w:tcPr>
            <w:tcW w:w="124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3218"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vAlign w:val="top"/>
          </w:tcPr>
          <w:p>
            <w:pPr>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w:t>
            </w:r>
          </w:p>
        </w:tc>
        <w:tc>
          <w:tcPr>
            <w:tcW w:w="13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捐赠协议</w:t>
            </w:r>
          </w:p>
        </w:tc>
        <w:tc>
          <w:tcPr>
            <w:tcW w:w="124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3218"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对于进口与支出主体不一致的业务，属于捐赠进口业务的，应提交捐赠协议。</w:t>
            </w:r>
          </w:p>
        </w:tc>
        <w:tc>
          <w:tcPr>
            <w:tcW w:w="1176" w:type="dxa"/>
            <w:vMerge w:val="continue"/>
            <w:vAlign w:val="top"/>
          </w:tcPr>
          <w:p>
            <w:pPr>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w:t>
            </w:r>
          </w:p>
        </w:tc>
        <w:tc>
          <w:tcPr>
            <w:tcW w:w="13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分立、合并证明文件</w:t>
            </w:r>
          </w:p>
        </w:tc>
        <w:tc>
          <w:tcPr>
            <w:tcW w:w="124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3218"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因企业分立、合并原因导致进口与支出主体不一致的，应提交相关部门出具的分立、合并证明文件。 </w:t>
            </w:r>
          </w:p>
        </w:tc>
        <w:tc>
          <w:tcPr>
            <w:tcW w:w="1176" w:type="dxa"/>
            <w:vMerge w:val="continue"/>
            <w:vAlign w:val="top"/>
          </w:tcPr>
          <w:p>
            <w:pPr>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w:t>
            </w:r>
          </w:p>
        </w:tc>
        <w:tc>
          <w:tcPr>
            <w:tcW w:w="13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原收汇凭证</w:t>
            </w:r>
          </w:p>
        </w:tc>
        <w:tc>
          <w:tcPr>
            <w:tcW w:w="124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3218"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贸易收汇退汇时提供原收汇凭证。</w:t>
            </w:r>
          </w:p>
        </w:tc>
        <w:tc>
          <w:tcPr>
            <w:tcW w:w="1176" w:type="dxa"/>
            <w:vMerge w:val="continue"/>
            <w:vAlign w:val="top"/>
          </w:tcPr>
          <w:p>
            <w:pPr>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9</w:t>
            </w:r>
          </w:p>
        </w:tc>
        <w:tc>
          <w:tcPr>
            <w:tcW w:w="13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退汇协议、错汇说明等证明付汇真实性的材料</w:t>
            </w:r>
          </w:p>
        </w:tc>
        <w:tc>
          <w:tcPr>
            <w:tcW w:w="124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keepNext/>
              <w:keepLines/>
              <w:spacing w:before="340" w:after="330" w:line="578" w:lineRule="auto"/>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3218" w:type="dxa"/>
            <w:vAlign w:val="center"/>
          </w:tcPr>
          <w:p>
            <w:pPr>
              <w:rPr>
                <w:rFonts w:ascii="Times New Roman" w:hAnsi="Times New Roman" w:eastAsia="仿宋_GB2312" w:cs="Times New Roman"/>
                <w:color w:val="auto"/>
                <w:sz w:val="24"/>
                <w:szCs w:val="24"/>
              </w:rPr>
            </w:pPr>
          </w:p>
        </w:tc>
        <w:tc>
          <w:tcPr>
            <w:tcW w:w="1176" w:type="dxa"/>
            <w:vMerge w:val="continue"/>
            <w:vAlign w:val="top"/>
          </w:tcPr>
          <w:p>
            <w:pPr>
              <w:rPr>
                <w:rFonts w:ascii="Times New Roman" w:hAnsi="Times New Roman" w:eastAsia="仿宋_GB2312" w:cs="Times New Roman"/>
                <w:color w:val="auto"/>
                <w:sz w:val="24"/>
                <w:szCs w:val="24"/>
              </w:rPr>
            </w:pPr>
          </w:p>
        </w:tc>
      </w:tr>
    </w:tbl>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（三）90天以上延期付款的B类企业进口付汇登记申请材料清单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135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985"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99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5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电子</w:t>
            </w:r>
          </w:p>
        </w:tc>
        <w:tc>
          <w:tcPr>
            <w:tcW w:w="170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275"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3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p>
        </w:tc>
        <w:tc>
          <w:tcPr>
            <w:tcW w:w="198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99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701"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说明需登记的事项和具体内容。 </w:t>
            </w:r>
          </w:p>
        </w:tc>
        <w:tc>
          <w:tcPr>
            <w:tcW w:w="1275" w:type="dxa"/>
            <w:vMerge w:val="restart"/>
            <w:vAlign w:val="center"/>
          </w:tcPr>
          <w:p>
            <w:pPr>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3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进口合同</w:t>
            </w:r>
          </w:p>
        </w:tc>
        <w:tc>
          <w:tcPr>
            <w:tcW w:w="198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99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color w:val="auto"/>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135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进口货物报关单</w:t>
            </w:r>
          </w:p>
        </w:tc>
        <w:tc>
          <w:tcPr>
            <w:tcW w:w="198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99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701"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货物不报关的可提供运输单据等其他材料</w:t>
            </w:r>
          </w:p>
        </w:tc>
        <w:tc>
          <w:tcPr>
            <w:tcW w:w="1275" w:type="dxa"/>
            <w:vMerge w:val="continue"/>
            <w:vAlign w:val="top"/>
          </w:tcPr>
          <w:p>
            <w:pPr>
              <w:keepNext/>
              <w:keepLines/>
              <w:spacing w:before="340" w:after="330" w:line="578"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p>
        </w:tc>
        <w:tc>
          <w:tcPr>
            <w:tcW w:w="1352" w:type="dxa"/>
            <w:vAlign w:val="center"/>
          </w:tcPr>
          <w:p>
            <w:pPr>
              <w:widowControl/>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rPr>
              <w:t>需90天以上延期付款的证明材料</w:t>
            </w:r>
          </w:p>
        </w:tc>
        <w:tc>
          <w:tcPr>
            <w:tcW w:w="1985"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99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5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color w:val="auto"/>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color w:val="auto"/>
                <w:sz w:val="24"/>
                <w:szCs w:val="24"/>
              </w:rPr>
            </w:pPr>
          </w:p>
        </w:tc>
      </w:tr>
    </w:tbl>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（四）超期限或无法原路退汇的企业付汇登记申请材料清单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2486"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3"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818"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电子</w:t>
            </w:r>
          </w:p>
        </w:tc>
        <w:tc>
          <w:tcPr>
            <w:tcW w:w="170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70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248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p>
        </w:tc>
        <w:tc>
          <w:tcPr>
            <w:tcW w:w="9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1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701"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说明需要登记事项的具体内容，超期限或无法原路退汇的原因，退汇同时是否发生货物退运。</w:t>
            </w:r>
          </w:p>
        </w:tc>
        <w:tc>
          <w:tcPr>
            <w:tcW w:w="1701" w:type="dxa"/>
            <w:vMerge w:val="restart"/>
            <w:vAlign w:val="center"/>
          </w:tcPr>
          <w:p>
            <w:pPr>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248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超期限或无法原路退汇的证明材料</w:t>
            </w:r>
          </w:p>
        </w:tc>
        <w:tc>
          <w:tcPr>
            <w:tcW w:w="9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1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color w:val="auto"/>
                <w:sz w:val="24"/>
                <w:szCs w:val="24"/>
              </w:rPr>
            </w:pPr>
          </w:p>
        </w:tc>
        <w:tc>
          <w:tcPr>
            <w:tcW w:w="1701" w:type="dxa"/>
            <w:vMerge w:val="continue"/>
            <w:vAlign w:val="center"/>
          </w:tcPr>
          <w:p>
            <w:pPr>
              <w:keepNext/>
              <w:keepLines/>
              <w:spacing w:before="340" w:after="330" w:line="578"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248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原收汇凭证</w:t>
            </w:r>
          </w:p>
        </w:tc>
        <w:tc>
          <w:tcPr>
            <w:tcW w:w="9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1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color w:val="auto"/>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p>
        </w:tc>
        <w:tc>
          <w:tcPr>
            <w:tcW w:w="248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原出口合同</w:t>
            </w:r>
          </w:p>
        </w:tc>
        <w:tc>
          <w:tcPr>
            <w:tcW w:w="9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1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701"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因错误汇入以外的其他原因产生的贸易收汇退汇，提供原出口合同。 </w:t>
            </w:r>
          </w:p>
        </w:tc>
        <w:tc>
          <w:tcPr>
            <w:tcW w:w="1701" w:type="dxa"/>
            <w:vMerge w:val="continue"/>
            <w:vAlign w:val="top"/>
          </w:tcPr>
          <w:p>
            <w:pPr>
              <w:keepNext/>
              <w:keepLines/>
              <w:spacing w:before="260" w:after="260" w:line="416"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w:t>
            </w:r>
          </w:p>
        </w:tc>
        <w:tc>
          <w:tcPr>
            <w:tcW w:w="248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报关单</w:t>
            </w:r>
          </w:p>
        </w:tc>
        <w:tc>
          <w:tcPr>
            <w:tcW w:w="993"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81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701"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发生货物退运时提供进口报关单。</w:t>
            </w:r>
          </w:p>
        </w:tc>
        <w:tc>
          <w:tcPr>
            <w:tcW w:w="1701" w:type="dxa"/>
            <w:vMerge w:val="continue"/>
            <w:vAlign w:val="top"/>
          </w:tcPr>
          <w:p>
            <w:pPr>
              <w:keepNext/>
              <w:keepLines/>
              <w:spacing w:before="260" w:after="260" w:line="416" w:lineRule="auto"/>
              <w:rPr>
                <w:rFonts w:ascii="Times New Roman" w:hAnsi="Times New Roman" w:eastAsia="仿宋_GB2312" w:cs="Times New Roman"/>
                <w:color w:val="auto"/>
                <w:sz w:val="24"/>
                <w:szCs w:val="24"/>
              </w:rPr>
            </w:pPr>
          </w:p>
        </w:tc>
      </w:tr>
    </w:tbl>
    <w:p>
      <w:pPr>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    （五）新出现的贸易新业态进口付汇登记申请材料清单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1778"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41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56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99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电子</w:t>
            </w:r>
          </w:p>
        </w:tc>
        <w:tc>
          <w:tcPr>
            <w:tcW w:w="170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70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7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99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701" w:type="dxa"/>
            <w:vAlign w:val="top"/>
          </w:tcPr>
          <w:p>
            <w:pPr>
              <w:rPr>
                <w:rFonts w:ascii="Times New Roman" w:hAnsi="Times New Roman" w:eastAsia="仿宋_GB2312" w:cs="Times New Roman"/>
                <w:color w:val="auto"/>
                <w:sz w:val="24"/>
                <w:szCs w:val="24"/>
              </w:rPr>
            </w:pPr>
          </w:p>
        </w:tc>
        <w:tc>
          <w:tcPr>
            <w:tcW w:w="1701" w:type="dxa"/>
            <w:vMerge w:val="restart"/>
            <w:vAlign w:val="center"/>
          </w:tcPr>
          <w:p>
            <w:pPr>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7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说明登记业务真实性和合理性的材料</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99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color w:val="auto"/>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color w:val="auto"/>
                <w:sz w:val="24"/>
                <w:szCs w:val="24"/>
              </w:rPr>
            </w:pPr>
          </w:p>
        </w:tc>
      </w:tr>
    </w:tbl>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（六）跨国公司资金集中运营-经常项目资金集中收付和轧差净额结算业务备案申请材料清单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960"/>
        <w:gridCol w:w="2268"/>
        <w:gridCol w:w="1701"/>
      </w:tblGrid>
      <w:tr>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1494"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276"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960"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电子</w:t>
            </w:r>
          </w:p>
        </w:tc>
        <w:tc>
          <w:tcPr>
            <w:tcW w:w="2268"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70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49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备案申请书</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96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268"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包括跨国公司及主办企业基本情况、拟开展的业务种类、成员企业名单、主办企业及成员企业股权结构情况、拟选择的合作银行情况等； </w:t>
            </w:r>
          </w:p>
        </w:tc>
        <w:tc>
          <w:tcPr>
            <w:tcW w:w="1701" w:type="dxa"/>
            <w:vMerge w:val="restart"/>
            <w:vAlign w:val="center"/>
          </w:tcPr>
          <w:p>
            <w:pPr>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49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跨国公司对主办企业开展跨境资金集中运营业务的授权书</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96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268"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此项材料应加盖跨国公司公章。</w:t>
            </w:r>
          </w:p>
        </w:tc>
        <w:tc>
          <w:tcPr>
            <w:tcW w:w="1701" w:type="dxa"/>
            <w:vMerge w:val="continue"/>
            <w:vAlign w:val="top"/>
          </w:tcPr>
          <w:p>
            <w:pPr>
              <w:keepNext/>
              <w:keepLines/>
              <w:spacing w:before="260" w:after="260" w:line="416"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149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主办企业与合作银行共同签署的《跨国公司跨境资金集中运营业务办理确认书》</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96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color w:val="auto"/>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p>
        </w:tc>
        <w:tc>
          <w:tcPr>
            <w:tcW w:w="149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主办企业及境内成员企业营业执照</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96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color w:val="auto"/>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w:t>
            </w:r>
          </w:p>
        </w:tc>
        <w:tc>
          <w:tcPr>
            <w:tcW w:w="149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境外成员企业注册文件</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96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268"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w:t>
            </w:r>
          </w:p>
        </w:tc>
        <w:tc>
          <w:tcPr>
            <w:tcW w:w="149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金融业务许可证及经营范围批准文件</w:t>
            </w:r>
          </w:p>
        </w:tc>
        <w:tc>
          <w:tcPr>
            <w:tcW w:w="1276"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96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2268"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color w:val="auto"/>
                <w:sz w:val="24"/>
                <w:szCs w:val="24"/>
              </w:rPr>
            </w:pPr>
          </w:p>
        </w:tc>
      </w:tr>
    </w:tbl>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（七）跨国公司资金集中运营-经常项目资金集中收付和轧差净额结算业务变更申请材料清单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1134"/>
        <w:gridCol w:w="1559"/>
        <w:gridCol w:w="1701"/>
      </w:tblGrid>
      <w:tr>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1778"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41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56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1134"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电子</w:t>
            </w:r>
          </w:p>
        </w:tc>
        <w:tc>
          <w:tcPr>
            <w:tcW w:w="155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70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7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申请书</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1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559"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需列明变更事项和相关内容。</w:t>
            </w:r>
          </w:p>
        </w:tc>
        <w:tc>
          <w:tcPr>
            <w:tcW w:w="1701" w:type="dxa"/>
            <w:vMerge w:val="restart"/>
            <w:vAlign w:val="center"/>
          </w:tcPr>
          <w:p>
            <w:pPr>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7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加盖银行业务公章的原账户余额对账单</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1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559"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w:t>
            </w:r>
          </w:p>
        </w:tc>
        <w:tc>
          <w:tcPr>
            <w:tcW w:w="17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主办企业与变更后合作银行签署的《跨国公司跨境资金集中运营业务办理确认书》</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1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559"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w:t>
            </w:r>
          </w:p>
        </w:tc>
        <w:tc>
          <w:tcPr>
            <w:tcW w:w="1778" w:type="dxa"/>
            <w:vAlign w:val="center"/>
          </w:tcPr>
          <w:p>
            <w:pPr>
              <w:jc w:val="center"/>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跨国公司对主办企业开展跨境资金集中运营业务的授权书</w:t>
            </w:r>
          </w:p>
        </w:tc>
        <w:tc>
          <w:tcPr>
            <w:tcW w:w="1417" w:type="dxa"/>
            <w:vAlign w:val="center"/>
          </w:tcPr>
          <w:p>
            <w:pPr>
              <w:jc w:val="center"/>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原件和复印件</w:t>
            </w:r>
          </w:p>
        </w:tc>
        <w:tc>
          <w:tcPr>
            <w:tcW w:w="567" w:type="dxa"/>
            <w:vAlign w:val="center"/>
          </w:tcPr>
          <w:p>
            <w:pPr>
              <w:jc w:val="center"/>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1</w:t>
            </w:r>
          </w:p>
        </w:tc>
        <w:tc>
          <w:tcPr>
            <w:tcW w:w="1134" w:type="dxa"/>
            <w:vAlign w:val="center"/>
          </w:tcPr>
          <w:p>
            <w:pPr>
              <w:jc w:val="center"/>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纸质/电子</w:t>
            </w:r>
          </w:p>
        </w:tc>
        <w:tc>
          <w:tcPr>
            <w:tcW w:w="1559" w:type="dxa"/>
            <w:vAlign w:val="center"/>
          </w:tcPr>
          <w:p>
            <w:pPr>
              <w:rPr>
                <w:rFonts w:ascii="Times New Roman" w:hAnsi="Times New Roman" w:eastAsia="仿宋_GB2312" w:cs="Times New Roman"/>
                <w:color w:val="auto"/>
                <w:sz w:val="24"/>
                <w:szCs w:val="24"/>
                <w:highlight w:val="yellow"/>
              </w:rPr>
            </w:pPr>
            <w:r>
              <w:rPr>
                <w:rFonts w:ascii="Times New Roman" w:hAnsi="Times New Roman" w:eastAsia="仿宋_GB2312" w:cs="Times New Roman"/>
                <w:color w:val="auto"/>
                <w:sz w:val="24"/>
                <w:szCs w:val="24"/>
              </w:rPr>
              <w:t>主办企业变更、成员企业新增或退出、外债和境外放款额度变更、业务种类变更时提供。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color w:val="auto"/>
                <w:sz w:val="24"/>
                <w:szCs w:val="24"/>
              </w:rPr>
            </w:pPr>
          </w:p>
        </w:tc>
      </w:tr>
      <w:tr>
        <w:tc>
          <w:tcPr>
            <w:tcW w:w="457"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w:t>
            </w:r>
          </w:p>
        </w:tc>
        <w:tc>
          <w:tcPr>
            <w:tcW w:w="17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主办企业与合作银行共同签署的《跨国公司跨境资金集中运营业务办理确认书》</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1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559"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w:t>
            </w:r>
          </w:p>
        </w:tc>
        <w:tc>
          <w:tcPr>
            <w:tcW w:w="17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主办企业及境内成员企业营业执照</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1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559"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w:t>
            </w:r>
          </w:p>
        </w:tc>
        <w:tc>
          <w:tcPr>
            <w:tcW w:w="17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境外成员企业注册文件</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1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559"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主办企业变更、成员企业新增或退出、业务种类变更时提供；非中文的同时提供中文翻译件。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color w:val="auto"/>
                <w:sz w:val="24"/>
                <w:szCs w:val="24"/>
              </w:rPr>
            </w:pP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w:t>
            </w:r>
          </w:p>
        </w:tc>
        <w:tc>
          <w:tcPr>
            <w:tcW w:w="17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金融业务许可证及经营范围批准文件</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134"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纸质/电子</w:t>
            </w:r>
          </w:p>
        </w:tc>
        <w:tc>
          <w:tcPr>
            <w:tcW w:w="1559" w:type="dxa"/>
            <w:vAlign w:val="center"/>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主办企业变更、成员企业新增或退出、业务种类变更时提供；仅主办企业为财务公司的需提供。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color w:val="auto"/>
                <w:sz w:val="24"/>
                <w:szCs w:val="24"/>
              </w:rPr>
            </w:pPr>
          </w:p>
        </w:tc>
      </w:tr>
    </w:tbl>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（八）跨国公司资金集中运营-经常项目资金集中收付和轧差净额结算业务注销申请材料清单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c>
          <w:tcPr>
            <w:tcW w:w="45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1778"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41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567"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99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w:t>
            </w:r>
          </w:p>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电子</w:t>
            </w:r>
          </w:p>
        </w:tc>
        <w:tc>
          <w:tcPr>
            <w:tcW w:w="170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70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45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77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备案申请</w:t>
            </w:r>
          </w:p>
        </w:tc>
        <w:tc>
          <w:tcPr>
            <w:tcW w:w="141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原件和复印件</w:t>
            </w:r>
          </w:p>
        </w:tc>
        <w:tc>
          <w:tcPr>
            <w:tcW w:w="567"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992"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1701" w:type="dxa"/>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包括跨国公司跨境资金集中运营的跨境收支及结售汇、国内资金主账户的关闭等相关情况。</w:t>
            </w:r>
          </w:p>
        </w:tc>
        <w:tc>
          <w:tcPr>
            <w:tcW w:w="1701" w:type="dxa"/>
            <w:vAlign w:val="center"/>
          </w:tcPr>
          <w:p>
            <w:pPr>
              <w:rPr>
                <w:rFonts w:ascii="Times New Roman" w:hAnsi="Times New Roman" w:eastAsia="仿宋_GB2312" w:cs="Times New Roman"/>
                <w:color w:val="auto"/>
                <w:sz w:val="24"/>
                <w:szCs w:val="24"/>
              </w:rPr>
            </w:pPr>
          </w:p>
        </w:tc>
      </w:tr>
    </w:tbl>
    <w:p>
      <w:pP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 xml:space="preserve">    十、申请接受</w:t>
      </w:r>
    </w:p>
    <w:p>
      <w:pPr>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w:t>
      </w:r>
      <w:r>
        <w:rPr>
          <w:rFonts w:hint="eastAsia" w:ascii="Times New Roman" w:hAnsi="Times New Roman" w:eastAsia="仿宋_GB2312" w:cs="Times New Roman"/>
          <w:color w:val="auto"/>
          <w:sz w:val="30"/>
          <w:szCs w:val="30"/>
        </w:rPr>
        <w:t>外汇服务窗口</w:t>
      </w:r>
      <w:r>
        <w:rPr>
          <w:rFonts w:ascii="Times New Roman" w:hAnsi="Times New Roman" w:eastAsia="仿宋_GB2312" w:cs="Times New Roman"/>
          <w:color w:val="auto"/>
          <w:sz w:val="30"/>
          <w:szCs w:val="30"/>
        </w:rPr>
        <w:t>提交申请。</w:t>
      </w: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十一、基本办理流程</w:t>
      </w:r>
    </w:p>
    <w:p>
      <w:pPr>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（一）申请人提交申请；</w:t>
      </w:r>
    </w:p>
    <w:p>
      <w:pPr>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（二）决定是否予以受理；</w:t>
      </w:r>
    </w:p>
    <w:p>
      <w:pPr>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（三）不属于本机构受理范围的，出具不予受理行政许可通知书； </w:t>
      </w:r>
    </w:p>
    <w:p>
      <w:pPr>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（五）材料齐全的，依法予以受理，并出具行政许可受理通知书；</w:t>
      </w:r>
    </w:p>
    <w:p>
      <w:pPr>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（六）不予许可的，做出不予许可的行政许可书面决定并说明理由；予以许可的，出具贸易外汇业务登记表或备案通知书。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十二、办理方式</w:t>
      </w:r>
    </w:p>
    <w:p>
      <w:pPr>
        <w:tabs>
          <w:tab w:val="left" w:pos="615"/>
        </w:tabs>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一般程序：申请、受理、审查、决定。</w:t>
      </w:r>
    </w:p>
    <w:p>
      <w:pPr>
        <w:tabs>
          <w:tab w:val="left" w:pos="615"/>
        </w:tabs>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 xml:space="preserve">    十三、审批时限</w:t>
      </w:r>
    </w:p>
    <w:p>
      <w:pPr>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20个工作日。</w:t>
      </w:r>
    </w:p>
    <w:p>
      <w:pPr>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十四、审批收费依据及标准</w:t>
      </w:r>
    </w:p>
    <w:p>
      <w:pPr>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不收费。</w:t>
      </w: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十五、审批结果</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外汇局向申请企业出具贸易外汇业务登记表或备案通知书。</w:t>
      </w:r>
    </w:p>
    <w:p>
      <w:pPr>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十六、结果送达</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通过电话等方式通知申请企业，并通过现场领取或邮寄等方式将结果送达。</w:t>
      </w:r>
    </w:p>
    <w:p>
      <w:pPr>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十七、申请人权利和义务</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color w:val="auto"/>
          <w:sz w:val="30"/>
          <w:szCs w:val="30"/>
        </w:rPr>
      </w:pPr>
      <w:r>
        <w:rPr>
          <w:rFonts w:ascii="Times New Roman" w:hAnsi="Times New Roman" w:eastAsia="黑体" w:cs="Times New Roman"/>
          <w:color w:val="auto"/>
          <w:sz w:val="30"/>
          <w:szCs w:val="30"/>
        </w:rPr>
        <w:t>十八、咨询途径、监督和投诉</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向国家外汇管理局咨询、监督投诉等可通过国家外汇管理局官方互联网站公众交流栏目进行。网址为</w:t>
      </w:r>
      <w:r>
        <w:rPr>
          <w:color w:val="auto"/>
        </w:rPr>
        <w:fldChar w:fldCharType="begin"/>
      </w:r>
      <w:r>
        <w:rPr>
          <w:color w:val="auto"/>
        </w:rPr>
        <w:instrText xml:space="preserve">HYPERLINK "http://www.safe.gov.cn/" </w:instrText>
      </w:r>
      <w:r>
        <w:rPr>
          <w:color w:val="auto"/>
        </w:rPr>
        <w:fldChar w:fldCharType="separate"/>
      </w:r>
      <w:r>
        <w:rPr>
          <w:rStyle w:val="6"/>
          <w:rFonts w:ascii="Times New Roman" w:hAnsi="Times New Roman" w:eastAsia="仿宋_GB2312" w:cs="Times New Roman"/>
          <w:color w:val="auto"/>
          <w:sz w:val="30"/>
          <w:szCs w:val="30"/>
        </w:rPr>
        <w:t>www.safe.gov.cn</w:t>
      </w:r>
      <w:r>
        <w:rPr>
          <w:color w:val="auto"/>
        </w:rPr>
        <w:fldChar w:fldCharType="end"/>
      </w:r>
      <w:r>
        <w:rPr>
          <w:rFonts w:ascii="Times New Roman" w:hAnsi="Times New Roman" w:eastAsia="仿宋_GB2312" w:cs="Times New Roman"/>
          <w:color w:val="auto"/>
          <w:sz w:val="30"/>
          <w:szCs w:val="30"/>
        </w:rPr>
        <w:t>。</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向外汇局</w:t>
      </w:r>
      <w:r>
        <w:rPr>
          <w:rFonts w:hint="eastAsia" w:ascii="Times New Roman" w:hAnsi="Times New Roman" w:eastAsia="仿宋_GB2312" w:cs="Times New Roman"/>
          <w:color w:val="auto"/>
          <w:sz w:val="30"/>
          <w:szCs w:val="30"/>
        </w:rPr>
        <w:t>吉林省分局及</w:t>
      </w:r>
      <w:bookmarkStart w:id="0" w:name="_GoBack"/>
      <w:r>
        <w:rPr>
          <w:rFonts w:hint="eastAsia" w:ascii="Times New Roman" w:hAnsi="Times New Roman" w:eastAsia="仿宋_GB2312" w:cs="Times New Roman"/>
          <w:color w:val="auto"/>
          <w:sz w:val="30"/>
          <w:szCs w:val="30"/>
          <w:lang w:eastAsia="zh-CN"/>
        </w:rPr>
        <w:t>分支机构</w:t>
      </w:r>
      <w:bookmarkEnd w:id="0"/>
      <w:r>
        <w:rPr>
          <w:rFonts w:ascii="Times New Roman" w:hAnsi="Times New Roman" w:eastAsia="仿宋_GB2312" w:cs="Times New Roman"/>
          <w:color w:val="auto"/>
          <w:sz w:val="30"/>
          <w:szCs w:val="30"/>
        </w:rPr>
        <w:t>进行咨询、监督和投诉等可通过</w:t>
      </w:r>
      <w:r>
        <w:rPr>
          <w:rFonts w:hint="eastAsia" w:ascii="Times New Roman" w:hAnsi="Times New Roman" w:eastAsia="仿宋_GB2312" w:cs="Times New Roman"/>
          <w:color w:val="auto"/>
          <w:sz w:val="30"/>
          <w:szCs w:val="30"/>
        </w:rPr>
        <w:t>国家外汇管理局吉林省分局官方互联网站“咨询反馈”栏目进行。网址为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6"/>
          <w:rFonts w:ascii="Times New Roman" w:hAnsi="Times New Roman" w:eastAsia="仿宋_GB2312" w:cs="Times New Roman"/>
          <w:color w:val="auto"/>
          <w:sz w:val="30"/>
          <w:szCs w:val="30"/>
        </w:rPr>
        <w:t>www.safe.gov.cn/jilin</w:t>
      </w:r>
      <w:r>
        <w:rPr>
          <w:color w:val="auto"/>
        </w:rPr>
        <w:fldChar w:fldCharType="end"/>
      </w:r>
      <w:r>
        <w:rPr>
          <w:rFonts w:hint="eastAsia" w:ascii="Times New Roman" w:hAnsi="Times New Roman" w:eastAsia="仿宋_GB2312" w:cs="Times New Roman"/>
          <w:color w:val="auto"/>
          <w:sz w:val="30"/>
          <w:szCs w:val="30"/>
        </w:rPr>
        <w:t>，也可通过国家外汇管理局吉林省分局官方互联网站“咨询反馈——联系我们”栏目中</w:t>
      </w:r>
      <w:r>
        <w:rPr>
          <w:rFonts w:ascii="Times New Roman" w:hAnsi="Times New Roman" w:eastAsia="仿宋_GB2312" w:cs="Times New Roman"/>
          <w:color w:val="auto"/>
          <w:sz w:val="30"/>
          <w:szCs w:val="30"/>
        </w:rPr>
        <w:t>公布的电话进行。</w:t>
      </w:r>
    </w:p>
    <w:p>
      <w:pPr>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十九、事项审查类型</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前审后批。</w:t>
      </w:r>
    </w:p>
    <w:p>
      <w:pPr>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二十、办公地址和时间</w:t>
      </w:r>
    </w:p>
    <w:p>
      <w:pPr>
        <w:ind w:firstLine="600" w:firstLineChars="200"/>
        <w:rPr>
          <w:rFonts w:eastAsia="仿宋_GB2312"/>
          <w:color w:val="auto"/>
          <w:sz w:val="30"/>
          <w:szCs w:val="30"/>
        </w:rPr>
      </w:pPr>
      <w:r>
        <w:rPr>
          <w:rFonts w:eastAsia="仿宋_GB2312"/>
          <w:color w:val="auto"/>
          <w:sz w:val="30"/>
          <w:szCs w:val="30"/>
        </w:rPr>
        <w:t>该项行政许可具体由国家外汇管理局</w:t>
      </w:r>
      <w:r>
        <w:rPr>
          <w:rFonts w:hint="eastAsia" w:eastAsia="仿宋_GB2312"/>
          <w:color w:val="auto"/>
          <w:sz w:val="30"/>
          <w:szCs w:val="30"/>
          <w:lang w:eastAsia="zh-CN"/>
        </w:rPr>
        <w:t>吉林省分局及分支机构</w:t>
      </w:r>
      <w:r>
        <w:rPr>
          <w:rFonts w:eastAsia="仿宋_GB2312"/>
          <w:color w:val="auto"/>
          <w:sz w:val="30"/>
          <w:szCs w:val="30"/>
        </w:rPr>
        <w:t>办理，</w:t>
      </w:r>
      <w:r>
        <w:rPr>
          <w:rFonts w:hint="eastAsia" w:eastAsia="仿宋_GB2312"/>
          <w:color w:val="auto"/>
          <w:sz w:val="30"/>
          <w:szCs w:val="30"/>
        </w:rPr>
        <w:t>国家外汇管理局吉林省</w:t>
      </w:r>
      <w:r>
        <w:rPr>
          <w:rFonts w:hint="eastAsia" w:eastAsia="仿宋_GB2312"/>
          <w:color w:val="auto"/>
          <w:sz w:val="30"/>
          <w:szCs w:val="30"/>
          <w:lang w:eastAsia="zh-CN"/>
        </w:rPr>
        <w:t>分支机构</w:t>
      </w:r>
      <w:r>
        <w:rPr>
          <w:rFonts w:hint="eastAsia" w:eastAsia="仿宋_GB2312"/>
          <w:color w:val="auto"/>
          <w:sz w:val="30"/>
          <w:szCs w:val="30"/>
        </w:rPr>
        <w:t>的</w:t>
      </w:r>
      <w:r>
        <w:rPr>
          <w:rFonts w:eastAsia="仿宋_GB2312"/>
          <w:color w:val="auto"/>
          <w:sz w:val="30"/>
          <w:szCs w:val="30"/>
        </w:rPr>
        <w:t>办公地址和办公时间见</w:t>
      </w:r>
      <w:r>
        <w:rPr>
          <w:rFonts w:hint="eastAsia" w:eastAsia="仿宋_GB2312"/>
          <w:color w:val="auto"/>
          <w:sz w:val="30"/>
          <w:szCs w:val="30"/>
        </w:rPr>
        <w:t>国家外汇管理局吉林省分局官方互联网站“咨询反馈——联系我们”栏目。</w:t>
      </w:r>
    </w:p>
    <w:p>
      <w:pPr>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二十一、常见问题解答和错误示例。</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1.《贸易外汇业务登记表》的有效期是多久？</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2.错误示例</w:t>
      </w:r>
    </w:p>
    <w:p>
      <w:pPr>
        <w:widowControl/>
        <w:spacing w:line="384" w:lineRule="auto"/>
        <w:ind w:firstLine="600" w:firstLineChars="200"/>
        <w:rPr>
          <w:rFonts w:ascii="Times New Roman" w:hAnsi="Times New Roman" w:eastAsia="仿宋_GB2312" w:cs="Times New Roman"/>
          <w:color w:val="auto"/>
          <w:sz w:val="30"/>
          <w:szCs w:val="30"/>
        </w:rPr>
        <w:sectPr>
          <w:footerReference r:id="rId5" w:type="default"/>
          <w:pgSz w:w="11906" w:h="16838"/>
          <w:pgMar w:top="1440" w:right="1800" w:bottom="1440" w:left="1800" w:header="851" w:footer="992" w:gutter="0"/>
          <w:cols w:space="720" w:num="1"/>
          <w:docGrid w:type="lines" w:linePitch="312"/>
        </w:sectPr>
      </w:pPr>
      <w:r>
        <w:rPr>
          <w:rFonts w:ascii="Times New Roman" w:hAnsi="Times New Roman" w:eastAsia="仿宋_GB2312" w:cs="Times New Roman"/>
          <w:color w:val="auto"/>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color w:val="auto"/>
          <w:sz w:val="30"/>
          <w:szCs w:val="30"/>
        </w:rPr>
        <w:t>。</w:t>
      </w:r>
    </w:p>
    <w:p>
      <w:pPr>
        <w:ind w:right="3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附录一</w:t>
      </w: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基本流程图</w:t>
      </w: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仿宋_GB2312" w:cs="Times New Roman"/>
          <w:color w:val="auto"/>
          <w:sz w:val="30"/>
          <w:szCs w:val="30"/>
        </w:rPr>
      </w:pPr>
      <w:r>
        <w:rPr>
          <w:rFonts w:ascii="Times New Roman" w:hAnsi="Times New Roman" w:eastAsia="仿宋_GB2312" w:cs="Times New Roman"/>
          <w:color w:val="auto"/>
          <w:kern w:val="2"/>
          <w:sz w:val="30"/>
          <w:szCs w:val="30"/>
          <w:lang w:val="en-US" w:eastAsia="zh-CN" w:bidi="ar-SA"/>
        </w:rPr>
        <w:pict>
          <v:shape id="_x0000_s1102" o:spid="_x0000_s1027"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r>
        <w:rPr>
          <w:rFonts w:ascii="Times New Roman" w:hAnsi="Times New Roman" w:eastAsia="仿宋_GB2312" w:cs="Times New Roman"/>
          <w:color w:val="auto"/>
          <w:kern w:val="2"/>
          <w:sz w:val="30"/>
          <w:szCs w:val="30"/>
          <w:lang w:val="en-US" w:eastAsia="zh-CN" w:bidi="ar-SA"/>
        </w:rPr>
        <w:pict>
          <v:shape id="_x0000_s1110" o:spid="_x0000_s1028" type="#_x0000_t32" style="position:absolute;left:0;margin-left:39.8pt;margin-top:12.8pt;height:43.4pt;width:0.8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shape id="_x0000_s1114" o:spid="_x0000_s1029" type="#_x0000_t32" style="position:absolute;left:0;flip:x;margin-left:41.45pt;margin-top:21.05pt;height:0.05pt;width:232.1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rect id="_x0000_s1104"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color w:val="auto"/>
          <w:sz w:val="30"/>
          <w:szCs w:val="30"/>
        </w:rPr>
        <w:sectPr>
          <w:pgSz w:w="11906" w:h="16838"/>
          <w:pgMar w:top="1440" w:right="1800" w:bottom="1440" w:left="1800" w:header="851" w:footer="992" w:gutter="0"/>
          <w:cols w:space="720" w:num="1"/>
          <w:docGrid w:type="lines" w:linePitch="312"/>
        </w:sectPr>
      </w:pPr>
      <w:r>
        <w:rPr>
          <w:rFonts w:ascii="Times New Roman" w:hAnsi="Times New Roman" w:eastAsia="仿宋_GB2312" w:cs="Times New Roman"/>
          <w:color w:val="auto"/>
          <w:kern w:val="2"/>
          <w:sz w:val="30"/>
          <w:szCs w:val="30"/>
          <w:lang w:val="en-US" w:eastAsia="zh-CN" w:bidi="ar-SA"/>
        </w:rPr>
        <w:pict>
          <v:shape id="_x0000_s1118" o:spid="_x0000_s1031" type="#_x0000_t32" style="position:absolute;left:0;margin-left:41.45pt;margin-top:125.3pt;height:57.55pt;width:0.05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shape id="_x0000_s1112" o:spid="_x0000_s1032" type="#_x0000_t32" style="position:absolute;left:0;margin-left:99.95pt;margin-top:92.5pt;height:0.05pt;width:52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rect id="_x0000_s1106" o:spid="_x0000_s1033"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color w:val="auto"/>
          <w:kern w:val="2"/>
          <w:sz w:val="30"/>
          <w:szCs w:val="30"/>
          <w:lang w:val="en-US" w:eastAsia="zh-CN" w:bidi="ar-SA"/>
        </w:rPr>
        <w:pict>
          <v:shape id="_x0000_s1109" o:spid="_x0000_s1034"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color w:val="auto"/>
          <w:kern w:val="2"/>
          <w:sz w:val="30"/>
          <w:szCs w:val="30"/>
          <w:lang w:val="en-US" w:eastAsia="zh-CN" w:bidi="ar-SA"/>
        </w:rPr>
        <w:pict>
          <v:shape id="_x0000_s1108" o:spid="_x0000_s1035"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color w:val="auto"/>
          <w:kern w:val="2"/>
          <w:sz w:val="30"/>
          <w:szCs w:val="30"/>
          <w:lang w:val="en-US" w:eastAsia="zh-CN" w:bidi="ar-SA"/>
        </w:rPr>
        <w:pict>
          <v:shape id="_x0000_s1116" o:spid="_x0000_s1036" type="#_x0000_t32" style="position:absolute;left:0;margin-left:237.25pt;margin-top:323.1pt;height:52.1pt;width:0.05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shape id="_x0000_s1117" o:spid="_x0000_s1037" type="#_x0000_t32" style="position:absolute;left:0;margin-left:117.65pt;margin-top:323.1pt;height:52.1pt;width:0.05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shape id="_x0000_s1120" o:spid="_x0000_s1038"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color w:val="auto"/>
          <w:kern w:val="2"/>
          <w:sz w:val="30"/>
          <w:szCs w:val="30"/>
          <w:lang w:val="en-US" w:eastAsia="zh-CN" w:bidi="ar-SA"/>
        </w:rPr>
        <w:pict>
          <v:shape id="_x0000_s1115" o:spid="_x0000_s1039" type="#_x0000_t32" style="position:absolute;left:0;margin-left:179.6pt;margin-top:231.45pt;height:33.95pt;width:0.05pt;rotation:0f;z-index:251670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shape id="_x0000_s1111" o:spid="_x0000_s1040" type="#_x0000_t32" style="position:absolute;left:0;margin-left:103.8pt;margin-top:61.4pt;height:0.05pt;width:48.15pt;rotation:0f;z-index:251671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shape id="_x0000_s1103" o:spid="_x0000_s1041"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color w:val="auto"/>
          <w:kern w:val="2"/>
          <w:sz w:val="30"/>
          <w:szCs w:val="30"/>
          <w:lang w:val="en-US" w:eastAsia="zh-CN" w:bidi="ar-SA"/>
        </w:rPr>
        <w:pict>
          <v:rect id="_x0000_s1107" o:spid="_x0000_s1042"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color w:val="auto"/>
          <w:kern w:val="2"/>
          <w:sz w:val="30"/>
          <w:szCs w:val="30"/>
          <w:lang w:val="en-US" w:eastAsia="zh-CN" w:bidi="ar-SA"/>
        </w:rPr>
        <w:pict>
          <v:shape id="_x0000_s1119" o:spid="_x0000_s1043" type="#_x0000_t32" style="position:absolute;left:0;margin-left:40.6pt;margin-top:182.85pt;height:0.05pt;width:41.1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shape id="_x0000_s1113" o:spid="_x0000_s1044" type="#_x0000_t32" style="position:absolute;left:0;flip:y;margin-left:345.35pt;margin-top:4.1pt;height:44.75pt;width:0.05pt;rotation:0f;z-index:2516756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auto"/>
          <w:kern w:val="2"/>
          <w:sz w:val="30"/>
          <w:szCs w:val="30"/>
          <w:lang w:val="en-US" w:eastAsia="zh-CN" w:bidi="ar-SA"/>
        </w:rPr>
        <w:pict>
          <v:rect id="_x0000_s1105" o:spid="_x0000_s1045"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附录二（</w:t>
      </w:r>
      <w:r>
        <w:rPr>
          <w:rFonts w:ascii="Times New Roman" w:hAnsi="Times New Roman" w:eastAsia="仿宋_GB2312" w:cs="Times New Roman"/>
          <w:color w:val="auto"/>
          <w:kern w:val="0"/>
          <w:sz w:val="30"/>
          <w:szCs w:val="30"/>
        </w:rPr>
        <w:t>材料示范文本</w:t>
      </w:r>
      <w:r>
        <w:rPr>
          <w:rFonts w:ascii="Times New Roman" w:hAnsi="Times New Roman" w:eastAsia="仿宋_GB2312" w:cs="Times New Roman"/>
          <w:color w:val="auto"/>
          <w:sz w:val="30"/>
          <w:szCs w:val="30"/>
        </w:rPr>
        <w:t>）</w:t>
      </w:r>
    </w:p>
    <w:p>
      <w:pPr>
        <w:widowControl/>
        <w:spacing w:line="384" w:lineRule="auto"/>
        <w:jc w:val="center"/>
        <w:rPr>
          <w:rFonts w:ascii="Times New Roman" w:hAnsi="Times New Roman" w:eastAsia="黑体" w:cs="Times New Roman"/>
          <w:color w:val="auto"/>
          <w:kern w:val="0"/>
          <w:sz w:val="30"/>
          <w:szCs w:val="30"/>
        </w:rPr>
      </w:pPr>
    </w:p>
    <w:p>
      <w:pPr>
        <w:widowControl/>
        <w:spacing w:line="384" w:lineRule="auto"/>
        <w:jc w:val="center"/>
        <w:rPr>
          <w:rFonts w:ascii="Times New Roman" w:hAnsi="Times New Roman" w:eastAsia="黑体" w:cs="Times New Roman"/>
          <w:color w:val="auto"/>
          <w:kern w:val="0"/>
          <w:sz w:val="30"/>
          <w:szCs w:val="30"/>
        </w:rPr>
      </w:pPr>
      <w:r>
        <w:rPr>
          <w:rFonts w:ascii="Times New Roman" w:hAnsi="Times New Roman" w:eastAsia="黑体" w:cs="Times New Roman"/>
          <w:color w:val="auto"/>
          <w:kern w:val="0"/>
          <w:sz w:val="30"/>
          <w:szCs w:val="30"/>
        </w:rPr>
        <w:t>申请书</w:t>
      </w:r>
    </w:p>
    <w:p>
      <w:pPr>
        <w:widowControl/>
        <w:spacing w:line="384" w:lineRule="auto"/>
        <w:jc w:val="center"/>
        <w:rPr>
          <w:rFonts w:ascii="Times New Roman" w:hAnsi="Times New Roman" w:eastAsia="黑体" w:cs="Times New Roman"/>
          <w:color w:val="auto"/>
          <w:kern w:val="0"/>
          <w:sz w:val="30"/>
          <w:szCs w:val="30"/>
        </w:rPr>
      </w:pPr>
    </w:p>
    <w:p>
      <w:pPr>
        <w:widowControl/>
        <w:spacing w:line="384" w:lineRule="auto"/>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国家外汇管理局XX分（支）局：</w:t>
      </w:r>
      <w:r>
        <w:rPr>
          <w:rFonts w:ascii="Times New Roman" w:hAnsi="Times New Roman" w:eastAsia="仿宋_GB2312" w:cs="Times New Roman"/>
          <w:color w:val="auto"/>
          <w:kern w:val="0"/>
          <w:sz w:val="30"/>
          <w:szCs w:val="30"/>
        </w:rPr>
        <w:br/>
      </w:r>
      <w:r>
        <w:rPr>
          <w:rFonts w:ascii="Times New Roman" w:hAnsi="Times New Roman" w:eastAsia="仿宋_GB2312" w:cs="Times New Roman"/>
          <w:color w:val="auto"/>
          <w:kern w:val="0"/>
          <w:sz w:val="30"/>
          <w:szCs w:val="30"/>
        </w:rPr>
        <w:t>　　一、申请业务的基本情况</w:t>
      </w:r>
    </w:p>
    <w:p>
      <w:pPr>
        <w:widowControl/>
        <w:spacing w:line="384" w:lineRule="auto"/>
        <w:ind w:firstLine="600"/>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二、申请事项</w:t>
      </w:r>
    </w:p>
    <w:p>
      <w:pPr>
        <w:widowControl/>
        <w:spacing w:line="384" w:lineRule="auto"/>
        <w:ind w:firstLine="600"/>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color w:val="auto"/>
          <w:kern w:val="0"/>
          <w:sz w:val="30"/>
          <w:szCs w:val="30"/>
        </w:rPr>
      </w:pPr>
    </w:p>
    <w:p>
      <w:pPr>
        <w:widowControl/>
        <w:spacing w:line="384" w:lineRule="auto"/>
        <w:jc w:val="left"/>
        <w:rPr>
          <w:rFonts w:ascii="Times New Roman" w:hAnsi="Times New Roman" w:eastAsia="仿宋_GB2312" w:cs="Times New Roman"/>
          <w:color w:val="auto"/>
          <w:kern w:val="0"/>
          <w:sz w:val="30"/>
          <w:szCs w:val="30"/>
        </w:rPr>
      </w:pPr>
    </w:p>
    <w:p>
      <w:pPr>
        <w:widowControl/>
        <w:spacing w:line="384" w:lineRule="auto"/>
        <w:jc w:val="left"/>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br/>
      </w:r>
    </w:p>
    <w:p>
      <w:pPr>
        <w:widowControl/>
        <w:spacing w:line="384" w:lineRule="auto"/>
        <w:ind w:right="600"/>
        <w:jc w:val="center"/>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年  月  日</w:t>
      </w:r>
    </w:p>
    <w:p>
      <w:pPr>
        <w:widowControl/>
        <w:spacing w:line="384" w:lineRule="auto"/>
        <w:ind w:right="900" w:firstLine="5400" w:firstLineChars="1800"/>
        <w:rPr>
          <w:rFonts w:ascii="Times New Roman" w:hAnsi="Times New Roman" w:eastAsia="仿宋_GB2312" w:cs="Times New Roman"/>
          <w:color w:val="auto"/>
          <w:kern w:val="0"/>
          <w:sz w:val="30"/>
          <w:szCs w:val="30"/>
        </w:rPr>
      </w:pPr>
    </w:p>
    <w:p>
      <w:pPr>
        <w:rPr>
          <w:rFonts w:ascii="Times New Roman" w:hAnsi="Times New Roman" w:cs="Times New Roman"/>
          <w:color w:val="auto"/>
        </w:rPr>
      </w:pPr>
    </w:p>
    <w:p>
      <w:pPr>
        <w:rPr>
          <w:rFonts w:ascii="Times New Roman" w:hAnsi="Times New Roman" w:cs="Times New Roman"/>
          <w:color w:val="auto"/>
        </w:rPr>
      </w:pPr>
    </w:p>
    <w:sectPr>
      <w:footerReference r:id="rId6"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paragraph" w:customStyle="1" w:styleId="7">
    <w:name w:val="List Paragraph"/>
    <w:basedOn w:val="1"/>
    <w:qFormat/>
    <w:uiPriority w:val="34"/>
    <w:pPr>
      <w:ind w:firstLine="420" w:firstLineChars="200"/>
    </w:pPr>
  </w:style>
  <w:style w:type="paragraph" w:customStyle="1" w:styleId="8">
    <w:name w:val="修订1"/>
    <w:hidden/>
    <w:semiHidden/>
    <w:qFormat/>
    <w:uiPriority w:val="99"/>
    <w:rPr>
      <w:rFonts w:ascii="Calibri" w:hAnsi="Calibri" w:eastAsia="宋体" w:cs="黑体"/>
      <w:kern w:val="2"/>
      <w:sz w:val="21"/>
      <w:szCs w:val="22"/>
    </w:rPr>
  </w:style>
  <w:style w:type="character" w:customStyle="1" w:styleId="9">
    <w:name w:val="页眉 Char Char"/>
    <w:basedOn w:val="5"/>
    <w:link w:val="4"/>
    <w:uiPriority w:val="99"/>
    <w:rPr>
      <w:sz w:val="18"/>
      <w:szCs w:val="18"/>
    </w:rPr>
  </w:style>
  <w:style w:type="character" w:customStyle="1" w:styleId="10">
    <w:name w:val="页脚 Char Char"/>
    <w:basedOn w:val="5"/>
    <w:link w:val="3"/>
    <w:uiPriority w:val="99"/>
    <w:rPr>
      <w:sz w:val="18"/>
      <w:szCs w:val="18"/>
    </w:rPr>
  </w:style>
  <w:style w:type="character" w:customStyle="1" w:styleId="11">
    <w:name w:val="批注框文本 Char Char"/>
    <w:basedOn w:val="5"/>
    <w:link w:val="2"/>
    <w:uiPriority w:val="99"/>
    <w:rPr>
      <w:sz w:val="18"/>
      <w:szCs w:val="18"/>
    </w:rPr>
  </w:style>
  <w:style w:type="character" w:customStyle="1" w:styleId="12">
    <w:name w:val="mini-outputtext"/>
    <w:basedOn w:val="5"/>
    <w:qFormat/>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877</Words>
  <Characters>5002</Characters>
  <Lines>41</Lines>
  <Paragraphs>11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韩美琪/收支处/长春/PBC</cp:lastModifiedBy>
  <cp:lastPrinted>2020-05-08T08:38:00Z</cp:lastPrinted>
  <dcterms:modified xsi:type="dcterms:W3CDTF">2023-09-01T06:27:41Z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