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ind w:left="0"/>
        <w:rPr>
          <w:rFonts w:ascii="Times New Roman" w:hAnsi="Times New Roman" w:cs="Times New Roman"/>
          <w:color w:val="auto"/>
          <w:sz w:val="20"/>
        </w:rPr>
      </w:pPr>
    </w:p>
    <w:p>
      <w:pPr>
        <w:pStyle w:val="4"/>
        <w:ind w:left="0"/>
        <w:rPr>
          <w:rFonts w:ascii="Times New Roman" w:hAnsi="Times New Roman" w:cs="Times New Roman"/>
          <w:color w:val="auto"/>
          <w:sz w:val="20"/>
        </w:rPr>
      </w:pPr>
      <w:r>
        <w:rPr>
          <w:rFonts w:ascii="Times New Roman" w:hAnsi="Times New Roman" w:eastAsia="仿宋" w:cs="Times New Roman"/>
          <w:color w:val="auto"/>
          <w:sz w:val="20"/>
          <w:szCs w:val="30"/>
          <w:lang w:val="en-US" w:eastAsia="zh-CN" w:bidi="ar-SA"/>
        </w:rPr>
        <w:pict>
          <v:shape id="image1.jpeg" o:spid="_x0000_s1028" type="#_x0000_t75" style="position:absolute;left:0;margin-left:438.65pt;margin-top:1.9pt;height:64.45pt;width:82.85pt;mso-position-horizontal-relative:page;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pStyle w:val="4"/>
        <w:spacing w:before="2"/>
        <w:ind w:left="0"/>
        <w:rPr>
          <w:rFonts w:ascii="Times New Roman" w:hAnsi="Times New Roman" w:cs="Times New Roman"/>
          <w:color w:val="auto"/>
          <w:sz w:val="26"/>
        </w:rPr>
      </w:pPr>
      <w:r>
        <w:rPr>
          <w:rFonts w:hint="eastAsia" w:ascii="Times New Roman" w:hAnsi="Times New Roman" w:cs="Times New Roman"/>
          <w:color w:val="auto"/>
          <w:sz w:val="26"/>
        </w:rPr>
        <w:t xml:space="preserve">     </w:t>
      </w:r>
    </w:p>
    <w:p>
      <w:pPr>
        <w:spacing w:before="48"/>
        <w:rPr>
          <w:rFonts w:ascii="Times New Roman" w:hAnsi="Times New Roman" w:eastAsia="黑体" w:cs="Times New Roman"/>
          <w:color w:val="auto"/>
          <w:sz w:val="48"/>
        </w:rPr>
      </w:pPr>
      <w:r>
        <w:rPr>
          <w:rFonts w:ascii="Times New Roman" w:hAnsi="Times New Roman" w:eastAsia="黑体" w:cs="Times New Roman"/>
          <w:color w:val="auto"/>
          <w:sz w:val="48"/>
        </w:rPr>
        <w:t>编号：57017</w:t>
      </w:r>
      <w:r>
        <w:rPr>
          <w:rFonts w:hint="eastAsia" w:ascii="Times New Roman" w:hAnsi="Times New Roman" w:eastAsia="黑体" w:cs="Times New Roman"/>
          <w:color w:val="auto"/>
          <w:sz w:val="48"/>
        </w:rPr>
        <w:t xml:space="preserve">                            </w:t>
      </w:r>
    </w:p>
    <w:p>
      <w:pPr>
        <w:pStyle w:val="4"/>
        <w:ind w:left="0"/>
        <w:rPr>
          <w:rFonts w:ascii="Times New Roman" w:hAnsi="Times New Roman" w:cs="Times New Roman"/>
          <w:color w:val="auto"/>
          <w:sz w:val="20"/>
        </w:rPr>
      </w:pPr>
    </w:p>
    <w:p>
      <w:pPr>
        <w:pStyle w:val="4"/>
        <w:ind w:left="0"/>
        <w:rPr>
          <w:rFonts w:ascii="Times New Roman" w:hAnsi="Times New Roman" w:cs="Times New Roman"/>
          <w:color w:val="auto"/>
          <w:sz w:val="20"/>
        </w:rPr>
      </w:pPr>
    </w:p>
    <w:p>
      <w:pPr>
        <w:pStyle w:val="4"/>
        <w:ind w:left="0"/>
        <w:rPr>
          <w:rFonts w:ascii="Times New Roman" w:hAnsi="Times New Roman" w:cs="Times New Roman"/>
          <w:color w:val="auto"/>
          <w:sz w:val="20"/>
        </w:rPr>
      </w:pPr>
    </w:p>
    <w:p>
      <w:pPr>
        <w:pStyle w:val="4"/>
        <w:ind w:left="0"/>
        <w:rPr>
          <w:rFonts w:ascii="Times New Roman" w:hAnsi="Times New Roman" w:eastAsia="宋体" w:cs="Times New Roman"/>
          <w:color w:val="auto"/>
          <w:sz w:val="20"/>
        </w:rPr>
      </w:pPr>
    </w:p>
    <w:p>
      <w:pPr>
        <w:pStyle w:val="4"/>
        <w:ind w:left="0"/>
        <w:rPr>
          <w:rFonts w:ascii="Times New Roman" w:hAnsi="Times New Roman" w:cs="Times New Roman"/>
          <w:color w:val="auto"/>
          <w:sz w:val="20"/>
        </w:rPr>
      </w:pPr>
    </w:p>
    <w:p>
      <w:pPr>
        <w:pStyle w:val="4"/>
        <w:ind w:left="0"/>
        <w:rPr>
          <w:rFonts w:ascii="Times New Roman" w:hAnsi="Times New Roman" w:cs="Times New Roman"/>
          <w:color w:val="auto"/>
          <w:sz w:val="20"/>
        </w:rPr>
      </w:pPr>
    </w:p>
    <w:p>
      <w:pPr>
        <w:pStyle w:val="4"/>
        <w:ind w:left="0"/>
        <w:rPr>
          <w:rFonts w:ascii="Times New Roman" w:hAnsi="Times New Roman" w:cs="Times New Roman"/>
          <w:color w:val="auto"/>
          <w:sz w:val="20"/>
        </w:rPr>
      </w:pPr>
    </w:p>
    <w:p>
      <w:pPr>
        <w:pStyle w:val="4"/>
        <w:spacing w:before="4"/>
        <w:ind w:left="0"/>
        <w:rPr>
          <w:rFonts w:ascii="Times New Roman" w:hAnsi="Times New Roman" w:cs="Times New Roman"/>
          <w:color w:val="auto"/>
          <w:sz w:val="26"/>
        </w:rPr>
      </w:pPr>
    </w:p>
    <w:p>
      <w:pPr>
        <w:spacing w:before="45" w:line="336" w:lineRule="auto"/>
        <w:ind w:right="692"/>
        <w:jc w:val="center"/>
        <w:rPr>
          <w:rFonts w:ascii="Times New Roman" w:hAnsi="Times New Roman" w:eastAsia="宋体" w:cs="Times New Roman"/>
          <w:color w:val="auto"/>
          <w:sz w:val="52"/>
        </w:rPr>
      </w:pPr>
      <w:r>
        <w:rPr>
          <w:rFonts w:ascii="Times New Roman" w:hAnsi="Times New Roman" w:eastAsia="宋体" w:cs="Times New Roman"/>
          <w:color w:val="auto"/>
          <w:sz w:val="52"/>
        </w:rPr>
        <w:t>“</w:t>
      </w:r>
      <w:r>
        <w:rPr>
          <w:rFonts w:ascii="Times New Roman" w:hAnsi="黑体" w:eastAsia="黑体" w:cs="Times New Roman"/>
          <w:color w:val="auto"/>
          <w:sz w:val="52"/>
        </w:rPr>
        <w:t>外汇账户（含边贸人民币结算专用账户）的开立、变更、关闭、撤销以及账户允许保留限额核准</w:t>
      </w:r>
      <w:r>
        <w:rPr>
          <w:rFonts w:ascii="Times New Roman" w:hAnsi="Times New Roman" w:eastAsia="宋体" w:cs="Times New Roman"/>
          <w:color w:val="auto"/>
          <w:sz w:val="52"/>
        </w:rPr>
        <w:t>”</w:t>
      </w:r>
    </w:p>
    <w:p>
      <w:pPr>
        <w:spacing w:before="45" w:line="336" w:lineRule="auto"/>
        <w:ind w:right="692"/>
        <w:jc w:val="center"/>
        <w:rPr>
          <w:rFonts w:ascii="Times New Roman" w:hAnsi="Times New Roman" w:eastAsia="黑体" w:cs="Times New Roman"/>
          <w:color w:val="auto"/>
          <w:sz w:val="52"/>
        </w:rPr>
      </w:pPr>
      <w:r>
        <w:rPr>
          <w:rFonts w:ascii="Times New Roman" w:hAnsi="黑体" w:eastAsia="黑体" w:cs="Times New Roman"/>
          <w:color w:val="auto"/>
          <w:sz w:val="52"/>
        </w:rPr>
        <w:t>行政审批服务指南</w:t>
      </w:r>
    </w:p>
    <w:p>
      <w:pPr>
        <w:pStyle w:val="4"/>
        <w:ind w:left="0"/>
        <w:rPr>
          <w:rFonts w:ascii="Times New Roman" w:hAnsi="Times New Roman" w:eastAsia="宋体" w:cs="Times New Roman"/>
          <w:color w:val="auto"/>
          <w:sz w:val="52"/>
        </w:rPr>
      </w:pPr>
    </w:p>
    <w:p>
      <w:pPr>
        <w:pStyle w:val="4"/>
        <w:ind w:left="0"/>
        <w:rPr>
          <w:rFonts w:ascii="Times New Roman" w:hAnsi="Times New Roman" w:eastAsia="宋体" w:cs="Times New Roman"/>
          <w:color w:val="auto"/>
          <w:sz w:val="52"/>
        </w:rPr>
      </w:pPr>
    </w:p>
    <w:p>
      <w:pPr>
        <w:pStyle w:val="4"/>
        <w:ind w:left="0"/>
        <w:rPr>
          <w:rFonts w:ascii="Times New Roman" w:hAnsi="Times New Roman" w:eastAsia="宋体" w:cs="Times New Roman"/>
          <w:color w:val="auto"/>
          <w:sz w:val="52"/>
        </w:rPr>
      </w:pPr>
    </w:p>
    <w:p>
      <w:pPr>
        <w:pStyle w:val="4"/>
        <w:ind w:left="0"/>
        <w:rPr>
          <w:rFonts w:ascii="Times New Roman" w:hAnsi="Times New Roman" w:eastAsia="宋体" w:cs="Times New Roman"/>
          <w:color w:val="auto"/>
          <w:sz w:val="52"/>
        </w:rPr>
      </w:pPr>
    </w:p>
    <w:p>
      <w:pPr>
        <w:pStyle w:val="4"/>
        <w:ind w:left="0"/>
        <w:rPr>
          <w:rFonts w:ascii="Times New Roman" w:hAnsi="Times New Roman" w:eastAsia="宋体" w:cs="Times New Roman"/>
          <w:color w:val="auto"/>
          <w:sz w:val="52"/>
        </w:rPr>
      </w:pPr>
    </w:p>
    <w:p>
      <w:pPr>
        <w:pStyle w:val="4"/>
        <w:ind w:left="0"/>
        <w:rPr>
          <w:rFonts w:ascii="Times New Roman" w:hAnsi="Times New Roman" w:eastAsia="宋体" w:cs="Times New Roman"/>
          <w:color w:val="auto"/>
          <w:sz w:val="52"/>
        </w:rPr>
      </w:pPr>
    </w:p>
    <w:p>
      <w:pPr>
        <w:widowControl w:val="0"/>
        <w:wordWrap/>
        <w:autoSpaceDE w:val="0"/>
        <w:autoSpaceDN w:val="0"/>
        <w:adjustRightInd/>
        <w:snapToGrid/>
        <w:spacing w:before="0" w:after="0" w:line="360" w:lineRule="auto"/>
        <w:ind w:left="0" w:leftChars="0" w:right="300" w:firstLine="0" w:firstLineChars="0"/>
        <w:jc w:val="center"/>
        <w:textAlignment w:val="auto"/>
        <w:outlineLvl w:val="9"/>
        <w:rPr>
          <w:rFonts w:ascii="Times New Roman" w:hAnsi="Times New Roman" w:eastAsia="仿宋_GB2312" w:cs="Times New Roman"/>
          <w:color w:val="auto"/>
          <w:sz w:val="30"/>
          <w:szCs w:val="30"/>
        </w:rPr>
      </w:pPr>
    </w:p>
    <w:p>
      <w:pPr>
        <w:widowControl w:val="0"/>
        <w:wordWrap/>
        <w:autoSpaceDE w:val="0"/>
        <w:autoSpaceDN w:val="0"/>
        <w:adjustRightInd/>
        <w:snapToGrid/>
        <w:spacing w:before="0" w:after="0" w:line="360" w:lineRule="auto"/>
        <w:ind w:left="0" w:leftChars="0" w:right="300" w:firstLine="0" w:firstLineChars="0"/>
        <w:jc w:val="center"/>
        <w:textAlignment w:val="auto"/>
        <w:outlineLvl w:val="9"/>
        <w:rPr>
          <w:rFonts w:ascii="Times New Roman" w:hAnsi="Times New Roman" w:eastAsia="仿宋_GB2312" w:cs="Times New Roman"/>
          <w:color w:val="auto"/>
          <w:sz w:val="30"/>
          <w:szCs w:val="30"/>
        </w:rPr>
      </w:pPr>
    </w:p>
    <w:p>
      <w:pPr>
        <w:widowControl w:val="0"/>
        <w:wordWrap/>
        <w:autoSpaceDE w:val="0"/>
        <w:autoSpaceDN w:val="0"/>
        <w:adjustRightInd/>
        <w:snapToGrid/>
        <w:spacing w:before="0" w:after="0" w:line="360" w:lineRule="auto"/>
        <w:ind w:left="0" w:leftChars="0" w:right="300" w:firstLine="0" w:firstLineChars="0"/>
        <w:jc w:val="center"/>
        <w:textAlignment w:val="auto"/>
        <w:outlineLvl w:val="9"/>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发布机构：国家外汇管理局</w:t>
      </w:r>
      <w:r>
        <w:rPr>
          <w:rFonts w:hint="eastAsia" w:ascii="Times New Roman" w:hAnsi="Times New Roman" w:eastAsia="仿宋_GB2312" w:cs="Times New Roman"/>
          <w:color w:val="auto"/>
          <w:sz w:val="30"/>
          <w:szCs w:val="30"/>
        </w:rPr>
        <w:t>吉林省分局</w:t>
      </w:r>
    </w:p>
    <w:p>
      <w:pPr>
        <w:pStyle w:val="4"/>
        <w:spacing w:line="600" w:lineRule="exact"/>
        <w:ind w:left="0" w:leftChars="0" w:firstLine="0" w:firstLineChars="0"/>
        <w:rPr>
          <w:rFonts w:hint="eastAsia" w:ascii="Times New Roman" w:hAnsi="Times New Roman" w:eastAsia="黑体"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Times New Roman" w:hAnsi="Times New Roman" w:eastAsia="黑体" w:cs="Times New Roman"/>
          <w:color w:val="auto"/>
          <w:lang w:val="en-US" w:eastAsia="zh-CN"/>
        </w:rPr>
        <w:t xml:space="preserve">        </w:t>
      </w:r>
    </w:p>
    <w:p>
      <w:pPr>
        <w:pStyle w:val="4"/>
        <w:spacing w:line="600" w:lineRule="exact"/>
        <w:ind w:left="0" w:leftChars="0" w:firstLine="0" w:firstLineChars="0"/>
        <w:rPr>
          <w:rFonts w:hint="eastAsia" w:ascii="Times New Roman" w:hAnsi="Times New Roman" w:eastAsia="黑体" w:cs="Times New Roman"/>
          <w:color w:val="auto"/>
          <w:lang w:val="en-US" w:eastAsia="zh-CN"/>
        </w:rPr>
      </w:pP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黑体" w:cs="Times New Roman"/>
          <w:color w:val="auto"/>
          <w:lang w:val="en-US" w:eastAsia="zh-CN"/>
        </w:rPr>
        <w:t xml:space="preserve">        </w:t>
      </w:r>
      <w:r>
        <w:rPr>
          <w:rFonts w:ascii="Times New Roman" w:hAnsi="Times New Roman" w:eastAsia="黑体" w:cs="Times New Roman"/>
          <w:color w:val="auto"/>
        </w:rPr>
        <w:t>一、项目信息</w:t>
      </w:r>
    </w:p>
    <w:p>
      <w:pPr>
        <w:pStyle w:val="4"/>
        <w:spacing w:line="600" w:lineRule="exact"/>
        <w:ind w:left="0" w:leftChars="0" w:right="341"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仿宋_GB2312" w:cs="Times New Roman"/>
          <w:color w:val="auto"/>
        </w:rPr>
        <w:t>项目名称：外汇账户的开立、变更、关闭、撤销以及账户允许保留限额核准；</w:t>
      </w:r>
    </w:p>
    <w:p>
      <w:pPr>
        <w:pStyle w:val="4"/>
        <w:spacing w:line="600" w:lineRule="exact"/>
        <w:ind w:left="0" w:leftChars="0"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仿宋_GB2312" w:cs="Times New Roman"/>
          <w:color w:val="auto"/>
        </w:rPr>
        <w:t>项目编号：57017；</w:t>
      </w:r>
    </w:p>
    <w:p>
      <w:pPr>
        <w:pStyle w:val="4"/>
        <w:spacing w:line="600" w:lineRule="exact"/>
        <w:ind w:left="0" w:leftChars="0"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仿宋_GB2312" w:cs="Times New Roman"/>
          <w:color w:val="auto"/>
        </w:rPr>
        <w:t>审批类别：行政许可。</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黑体" w:cs="Times New Roman"/>
          <w:color w:val="auto"/>
        </w:rPr>
        <w:t>二、适用范围</w:t>
      </w:r>
    </w:p>
    <w:p>
      <w:pPr>
        <w:pStyle w:val="4"/>
        <w:spacing w:line="600" w:lineRule="exact"/>
        <w:ind w:left="0" w:leftChars="0" w:right="341"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仿宋_GB2312" w:cs="Times New Roman"/>
          <w:color w:val="auto"/>
        </w:rPr>
        <w:t>本指南适用于“外汇账户的开立、变更、关闭、撤销以及账户允许保留限额核准”的申请和办理。</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黑体" w:cs="Times New Roman"/>
          <w:color w:val="auto"/>
        </w:rPr>
        <w:t>三、设定依据</w:t>
      </w:r>
    </w:p>
    <w:p>
      <w:pPr>
        <w:pStyle w:val="4"/>
        <w:spacing w:line="600" w:lineRule="exact"/>
        <w:ind w:left="0" w:leftChars="0" w:firstLine="0" w:firstLineChars="0"/>
        <w:rPr>
          <w:rFonts w:ascii="Times New Roman" w:hAnsi="Times New Roman" w:eastAsia="仿宋_GB2312" w:cs="Times New Roman"/>
          <w:color w:val="auto"/>
        </w:rPr>
      </w:pPr>
      <w:r>
        <w:rPr>
          <w:rFonts w:hint="eastAsia" w:ascii="Times New Roman" w:hAnsi="Times New Roman" w:eastAsia="黑体" w:cs="Times New Roman"/>
          <w:color w:val="auto"/>
          <w:lang w:val="en-US" w:eastAsia="zh-CN"/>
        </w:rPr>
        <w:t xml:space="preserve">        </w:t>
      </w:r>
      <w:r>
        <w:rPr>
          <w:rFonts w:ascii="Times New Roman" w:hAnsi="Times New Roman" w:eastAsia="仿宋_GB2312" w:cs="Times New Roman"/>
          <w:color w:val="auto"/>
        </w:rPr>
        <w:t>《国务院对确需保留的行政审批项目设定行政许可的决定》</w:t>
      </w:r>
    </w:p>
    <w:p>
      <w:pPr>
        <w:pStyle w:val="4"/>
        <w:spacing w:line="600" w:lineRule="exact"/>
        <w:ind w:left="0" w:leftChars="0" w:right="417" w:firstLine="0" w:firstLineChars="0"/>
        <w:jc w:val="both"/>
        <w:rPr>
          <w:rFonts w:ascii="Times New Roman" w:hAnsi="Times New Roman" w:eastAsia="仿宋_GB2312" w:cs="Times New Roman"/>
          <w:color w:val="auto"/>
        </w:rPr>
      </w:pPr>
      <w:r>
        <w:rPr>
          <w:rFonts w:ascii="Times New Roman" w:hAnsi="Times New Roman" w:eastAsia="仿宋_GB2312" w:cs="Times New Roman"/>
          <w:color w:val="auto"/>
        </w:rPr>
        <w:t>（</w:t>
      </w:r>
      <w:r>
        <w:rPr>
          <w:rFonts w:ascii="Times New Roman" w:hAnsi="Times New Roman" w:eastAsia="仿宋_GB2312" w:cs="Times New Roman"/>
          <w:color w:val="auto"/>
          <w:spacing w:val="-13"/>
        </w:rPr>
        <w:t xml:space="preserve">国务院令第 </w:t>
      </w:r>
      <w:r>
        <w:rPr>
          <w:rFonts w:ascii="Times New Roman" w:hAnsi="Times New Roman" w:eastAsia="仿宋_GB2312" w:cs="Times New Roman"/>
          <w:color w:val="auto"/>
        </w:rPr>
        <w:t>412</w:t>
      </w:r>
      <w:r>
        <w:rPr>
          <w:rFonts w:ascii="Times New Roman" w:hAnsi="Times New Roman" w:eastAsia="仿宋_GB2312" w:cs="Times New Roman"/>
          <w:color w:val="auto"/>
          <w:spacing w:val="-38"/>
        </w:rPr>
        <w:t xml:space="preserve"> 号</w:t>
      </w:r>
      <w:r>
        <w:rPr>
          <w:rFonts w:ascii="Times New Roman" w:hAnsi="Times New Roman" w:eastAsia="仿宋_GB2312" w:cs="Times New Roman"/>
          <w:color w:val="auto"/>
          <w:spacing w:val="-32"/>
        </w:rPr>
        <w:t>）</w:t>
      </w:r>
      <w:r>
        <w:rPr>
          <w:rFonts w:ascii="Times New Roman" w:hAnsi="Times New Roman" w:eastAsia="仿宋_GB2312" w:cs="Times New Roman"/>
          <w:color w:val="auto"/>
          <w:spacing w:val="-10"/>
        </w:rPr>
        <w:t>附件第 493 项“外</w:t>
      </w:r>
      <w:r>
        <w:rPr>
          <w:rFonts w:ascii="Times New Roman" w:hAnsi="Times New Roman" w:eastAsia="仿宋_GB2312" w:cs="Times New Roman"/>
          <w:color w:val="auto"/>
          <w:spacing w:val="-21"/>
        </w:rPr>
        <w:t>汇账户</w:t>
      </w:r>
      <w:r>
        <w:rPr>
          <w:rFonts w:ascii="Times New Roman" w:hAnsi="Times New Roman" w:eastAsia="仿宋_GB2312" w:cs="Times New Roman"/>
          <w:color w:val="auto"/>
        </w:rPr>
        <w:t>（</w:t>
      </w:r>
      <w:r>
        <w:rPr>
          <w:rFonts w:ascii="Times New Roman" w:hAnsi="Times New Roman" w:eastAsia="仿宋_GB2312" w:cs="Times New Roman"/>
          <w:color w:val="auto"/>
          <w:spacing w:val="-2"/>
        </w:rPr>
        <w:t>含边贸人民币</w:t>
      </w:r>
      <w:r>
        <w:rPr>
          <w:rFonts w:ascii="Times New Roman" w:hAnsi="Times New Roman" w:eastAsia="仿宋_GB2312" w:cs="Times New Roman"/>
          <w:color w:val="auto"/>
        </w:rPr>
        <w:t>结算专用账户</w:t>
      </w:r>
      <w:r>
        <w:rPr>
          <w:rFonts w:ascii="Times New Roman" w:hAnsi="Times New Roman" w:eastAsia="仿宋_GB2312" w:cs="Times New Roman"/>
          <w:color w:val="auto"/>
          <w:spacing w:val="-24"/>
        </w:rPr>
        <w:t>）</w:t>
      </w:r>
      <w:r>
        <w:rPr>
          <w:rFonts w:ascii="Times New Roman" w:hAnsi="Times New Roman" w:eastAsia="仿宋_GB2312" w:cs="Times New Roman"/>
          <w:color w:val="auto"/>
          <w:spacing w:val="-10"/>
        </w:rPr>
        <w:t>的开立、变更、关闭、撤销以及账户允许保留限</w:t>
      </w:r>
      <w:r>
        <w:rPr>
          <w:rFonts w:ascii="Times New Roman" w:hAnsi="Times New Roman" w:eastAsia="仿宋_GB2312" w:cs="Times New Roman"/>
          <w:color w:val="auto"/>
        </w:rPr>
        <w:t>额核准。</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仿宋_GB2312" w:cs="Times New Roman"/>
          <w:color w:val="auto"/>
          <w:lang w:val="en-US" w:eastAsia="zh-CN"/>
        </w:rPr>
        <w:t xml:space="preserve">        </w:t>
      </w:r>
      <w:r>
        <w:rPr>
          <w:rFonts w:ascii="Times New Roman" w:hAnsi="Times New Roman" w:eastAsia="黑体" w:cs="Times New Roman"/>
          <w:color w:val="auto"/>
        </w:rPr>
        <w:t>四、</w:t>
      </w:r>
      <w:bookmarkStart w:id="0" w:name="_GoBack"/>
      <w:r>
        <w:rPr>
          <w:rFonts w:ascii="Times New Roman" w:hAnsi="Times New Roman" w:eastAsia="黑体" w:cs="Times New Roman"/>
          <w:color w:val="auto"/>
        </w:rPr>
        <w:t>货物贸易外汇收入存放境外外汇账户审批</w:t>
      </w:r>
      <w:bookmarkEnd w:id="0"/>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仿宋_GB2312" w:cs="Times New Roman"/>
          <w:color w:val="auto"/>
          <w:lang w:val="en-US" w:eastAsia="zh-CN"/>
        </w:rPr>
        <w:t xml:space="preserve">        </w:t>
      </w:r>
      <w:r>
        <w:rPr>
          <w:rFonts w:hint="eastAsia" w:ascii="Times New Roman" w:hAnsi="Times New Roman" w:eastAsia="黑体" w:cs="Times New Roman"/>
          <w:b w:val="0"/>
          <w:bCs w:val="0"/>
          <w:color w:val="auto"/>
          <w:lang w:eastAsia="zh-CN"/>
        </w:rPr>
        <w:t>（一）</w:t>
      </w:r>
      <w:r>
        <w:rPr>
          <w:rFonts w:ascii="Times New Roman" w:hAnsi="Times New Roman" w:eastAsia="黑体" w:cs="Times New Roman"/>
          <w:color w:val="auto"/>
        </w:rPr>
        <w:t>办理依据</w:t>
      </w:r>
    </w:p>
    <w:p>
      <w:pPr>
        <w:tabs>
          <w:tab w:val="left" w:pos="1663"/>
        </w:tabs>
        <w:spacing w:line="600" w:lineRule="exact"/>
        <w:rPr>
          <w:rFonts w:ascii="Times New Roman" w:hAnsi="Times New Roman" w:eastAsia="仿宋_GB2312" w:cs="Times New Roman"/>
          <w:color w:val="auto"/>
          <w:spacing w:val="-10"/>
          <w:sz w:val="30"/>
          <w:szCs w:val="30"/>
        </w:rPr>
      </w:pPr>
      <w:r>
        <w:rPr>
          <w:rFonts w:hint="eastAsia" w:ascii="Times New Roman" w:hAnsi="Times New Roman" w:eastAsia="仿宋_GB2312" w:cs="Times New Roman"/>
          <w:color w:val="auto"/>
          <w:spacing w:val="-10"/>
          <w:sz w:val="30"/>
          <w:szCs w:val="30"/>
          <w:lang w:val="en-US" w:eastAsia="zh-CN"/>
        </w:rPr>
        <w:t xml:space="preserve">        </w:t>
      </w:r>
      <w:r>
        <w:rPr>
          <w:rFonts w:ascii="Times New Roman" w:hAnsi="Times New Roman" w:eastAsia="仿宋_GB2312" w:cs="Times New Roman"/>
          <w:color w:val="auto"/>
          <w:spacing w:val="-10"/>
          <w:sz w:val="30"/>
          <w:szCs w:val="30"/>
        </w:rPr>
        <w:t>1.《中华人民共和国外汇管理条例》（国务院令第 532 号）；</w:t>
      </w:r>
    </w:p>
    <w:p>
      <w:pPr>
        <w:tabs>
          <w:tab w:val="left" w:pos="1663"/>
        </w:tabs>
        <w:spacing w:line="600" w:lineRule="exact"/>
        <w:rPr>
          <w:rFonts w:ascii="Times New Roman" w:hAnsi="Times New Roman" w:eastAsia="仿宋_GB2312" w:cs="Times New Roman"/>
          <w:color w:val="auto"/>
          <w:spacing w:val="-10"/>
          <w:sz w:val="30"/>
          <w:szCs w:val="30"/>
        </w:rPr>
      </w:pPr>
      <w:r>
        <w:rPr>
          <w:rFonts w:hint="eastAsia" w:ascii="Times New Roman" w:hAnsi="Times New Roman" w:eastAsia="仿宋_GB2312" w:cs="Times New Roman"/>
          <w:color w:val="auto"/>
          <w:spacing w:val="-10"/>
          <w:sz w:val="30"/>
          <w:szCs w:val="30"/>
          <w:lang w:val="en-US" w:eastAsia="zh-CN"/>
        </w:rPr>
        <w:t xml:space="preserve">        </w:t>
      </w:r>
      <w:r>
        <w:rPr>
          <w:rFonts w:ascii="Times New Roman" w:hAnsi="Times New Roman" w:eastAsia="仿宋_GB2312" w:cs="Times New Roman"/>
          <w:color w:val="auto"/>
          <w:spacing w:val="-10"/>
          <w:sz w:val="30"/>
          <w:szCs w:val="30"/>
        </w:rPr>
        <w:t>2.《国家外汇管理局关于印发货物贸易外汇管理法规有关问题的通知》（汇发〔2012〕38 号）；</w:t>
      </w:r>
    </w:p>
    <w:p>
      <w:pPr>
        <w:tabs>
          <w:tab w:val="left" w:pos="1663"/>
        </w:tabs>
        <w:spacing w:line="600" w:lineRule="exact"/>
        <w:rPr>
          <w:rFonts w:ascii="Times New Roman" w:hAnsi="Times New Roman" w:eastAsia="仿宋_GB2312" w:cs="Times New Roman"/>
          <w:color w:val="auto"/>
          <w:spacing w:val="-10"/>
          <w:sz w:val="30"/>
          <w:szCs w:val="30"/>
        </w:rPr>
      </w:pPr>
      <w:r>
        <w:rPr>
          <w:rFonts w:hint="eastAsia" w:ascii="Times New Roman" w:hAnsi="Times New Roman" w:eastAsia="仿宋_GB2312" w:cs="Times New Roman"/>
          <w:color w:val="auto"/>
          <w:spacing w:val="-10"/>
          <w:sz w:val="30"/>
          <w:szCs w:val="30"/>
          <w:lang w:val="en-US" w:eastAsia="zh-CN"/>
        </w:rPr>
        <w:t xml:space="preserve">        </w:t>
      </w:r>
      <w:r>
        <w:rPr>
          <w:rFonts w:ascii="Times New Roman" w:hAnsi="Times New Roman" w:eastAsia="仿宋_GB2312" w:cs="Times New Roman"/>
          <w:color w:val="auto"/>
          <w:spacing w:val="-10"/>
          <w:sz w:val="30"/>
          <w:szCs w:val="30"/>
        </w:rPr>
        <w:t>3.《国家外汇管理局关于取消有关外汇管理证明事项的通知》（汇发〔2019〕38号）</w:t>
      </w:r>
      <w:r>
        <w:rPr>
          <w:rFonts w:hint="eastAsia" w:ascii="Times New Roman" w:hAnsi="Times New Roman" w:eastAsia="仿宋_GB2312" w:cs="Times New Roman"/>
          <w:color w:val="auto"/>
          <w:spacing w:val="-10"/>
          <w:sz w:val="30"/>
          <w:szCs w:val="30"/>
        </w:rPr>
        <w:t>；</w:t>
      </w:r>
    </w:p>
    <w:p>
      <w:pPr>
        <w:tabs>
          <w:tab w:val="left" w:pos="1663"/>
        </w:tabs>
        <w:spacing w:line="600" w:lineRule="exact"/>
        <w:ind w:right="417"/>
        <w:rPr>
          <w:rFonts w:ascii="Times New Roman" w:hAnsi="Times New Roman" w:eastAsia="仿宋_GB2312" w:cs="Times New Roman"/>
          <w:color w:val="auto"/>
          <w:spacing w:val="-10"/>
          <w:sz w:val="30"/>
          <w:szCs w:val="30"/>
        </w:rPr>
      </w:pP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仿宋_GB2312" w:cs="Times New Roman"/>
          <w:color w:val="auto"/>
          <w:sz w:val="30"/>
          <w:szCs w:val="30"/>
        </w:rPr>
        <w:t>4.</w:t>
      </w:r>
      <w:r>
        <w:rPr>
          <w:rFonts w:hint="eastAsia" w:ascii="Times New Roman" w:hAnsi="Times New Roman" w:eastAsia="仿宋_GB2312" w:cs="Times New Roman"/>
          <w:color w:val="auto"/>
          <w:sz w:val="30"/>
          <w:szCs w:val="30"/>
        </w:rPr>
        <w:t>《国家外汇管理局关于印发〈经常项目外汇业务指引（</w:t>
      </w:r>
      <w:r>
        <w:rPr>
          <w:rFonts w:ascii="Times New Roman" w:hAnsi="Times New Roman" w:eastAsia="仿宋_GB2312" w:cs="Times New Roman"/>
          <w:color w:val="auto"/>
          <w:sz w:val="30"/>
          <w:szCs w:val="30"/>
        </w:rPr>
        <w:t>2020</w:t>
      </w:r>
      <w:r>
        <w:rPr>
          <w:rFonts w:hint="eastAsia" w:ascii="Times New Roman" w:hAnsi="Times New Roman" w:eastAsia="仿宋_GB2312" w:cs="Times New Roman"/>
          <w:color w:val="auto"/>
          <w:sz w:val="30"/>
          <w:szCs w:val="30"/>
        </w:rPr>
        <w:t>年版）〉的通知》</w:t>
      </w:r>
      <w:r>
        <w:rPr>
          <w:rFonts w:hint="eastAsia" w:ascii="Times New Roman" w:hAnsi="Times New Roman" w:eastAsia="仿宋_GB2312" w:cs="Times New Roman"/>
          <w:color w:val="auto"/>
          <w:spacing w:val="-10"/>
          <w:sz w:val="30"/>
          <w:szCs w:val="30"/>
        </w:rPr>
        <w:t>（汇发〔</w:t>
      </w:r>
      <w:r>
        <w:rPr>
          <w:rFonts w:ascii="Times New Roman" w:hAnsi="Times New Roman" w:eastAsia="仿宋_GB2312" w:cs="Times New Roman"/>
          <w:color w:val="auto"/>
          <w:spacing w:val="-10"/>
          <w:sz w:val="30"/>
          <w:szCs w:val="30"/>
        </w:rPr>
        <w:t>2020</w:t>
      </w:r>
      <w:r>
        <w:rPr>
          <w:rFonts w:hint="eastAsia" w:ascii="Times New Roman" w:hAnsi="Times New Roman" w:eastAsia="仿宋_GB2312" w:cs="Times New Roman"/>
          <w:color w:val="auto"/>
          <w:spacing w:val="-10"/>
          <w:sz w:val="30"/>
          <w:szCs w:val="30"/>
        </w:rPr>
        <w:t>〕</w:t>
      </w:r>
      <w:r>
        <w:rPr>
          <w:rFonts w:ascii="Times New Roman" w:hAnsi="Times New Roman" w:eastAsia="仿宋_GB2312" w:cs="Times New Roman"/>
          <w:color w:val="auto"/>
          <w:spacing w:val="-10"/>
          <w:sz w:val="30"/>
          <w:szCs w:val="30"/>
        </w:rPr>
        <w:t>14</w:t>
      </w:r>
      <w:r>
        <w:rPr>
          <w:rFonts w:hint="eastAsia" w:ascii="Times New Roman" w:hAnsi="Times New Roman" w:eastAsia="仿宋_GB2312" w:cs="Times New Roman"/>
          <w:color w:val="auto"/>
          <w:spacing w:val="-10"/>
          <w:sz w:val="30"/>
          <w:szCs w:val="30"/>
        </w:rPr>
        <w:t>号）。</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黑体" w:cs="Times New Roman"/>
          <w:color w:val="auto"/>
          <w:lang w:val="en-US" w:eastAsia="zh-CN"/>
        </w:rPr>
        <w:t xml:space="preserve">        </w:t>
      </w:r>
      <w:r>
        <w:rPr>
          <w:rFonts w:ascii="Times New Roman" w:hAnsi="Times New Roman" w:eastAsia="黑体" w:cs="Times New Roman"/>
          <w:color w:val="auto"/>
        </w:rPr>
        <w:t>（二）受理机构</w:t>
      </w:r>
    </w:p>
    <w:p>
      <w:pPr>
        <w:pStyle w:val="4"/>
        <w:spacing w:line="600" w:lineRule="exact"/>
        <w:ind w:left="0" w:leftChars="0"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仿宋_GB2312" w:cs="Times New Roman"/>
          <w:color w:val="auto"/>
        </w:rPr>
        <w:t>申请人注册所在地国家外汇管理局</w:t>
      </w:r>
      <w:r>
        <w:rPr>
          <w:rFonts w:hint="eastAsia" w:ascii="Times New Roman" w:hAnsi="Times New Roman" w:eastAsia="仿宋_GB2312" w:cs="Times New Roman"/>
          <w:color w:val="auto"/>
          <w:lang w:eastAsia="zh-CN"/>
        </w:rPr>
        <w:t>分支机构</w:t>
      </w:r>
      <w:r>
        <w:rPr>
          <w:rFonts w:ascii="Times New Roman" w:hAnsi="Times New Roman" w:eastAsia="仿宋_GB2312" w:cs="Times New Roman"/>
          <w:color w:val="auto"/>
        </w:rPr>
        <w:t>。</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黑体" w:cs="Times New Roman"/>
          <w:color w:val="auto"/>
        </w:rPr>
        <w:t>（三）决定机构</w:t>
      </w:r>
    </w:p>
    <w:p>
      <w:pPr>
        <w:pStyle w:val="4"/>
        <w:spacing w:line="600" w:lineRule="exact"/>
        <w:ind w:left="0" w:leftChars="0"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仿宋_GB2312" w:cs="Times New Roman"/>
          <w:color w:val="auto"/>
        </w:rPr>
        <w:t>申请人注册所在地国家外汇管理局</w:t>
      </w:r>
      <w:r>
        <w:rPr>
          <w:rFonts w:hint="eastAsia" w:ascii="Times New Roman" w:hAnsi="Times New Roman" w:eastAsia="仿宋_GB2312" w:cs="Times New Roman"/>
          <w:color w:val="auto"/>
          <w:lang w:eastAsia="zh-CN"/>
        </w:rPr>
        <w:t>分支机构</w:t>
      </w:r>
      <w:r>
        <w:rPr>
          <w:rFonts w:ascii="Times New Roman" w:hAnsi="Times New Roman" w:eastAsia="仿宋_GB2312" w:cs="Times New Roman"/>
          <w:color w:val="auto"/>
        </w:rPr>
        <w:t>。</w:t>
      </w:r>
    </w:p>
    <w:p>
      <w:pPr>
        <w:pStyle w:val="4"/>
        <w:spacing w:line="600" w:lineRule="exact"/>
        <w:ind w:left="0" w:leftChars="0" w:firstLine="0" w:firstLineChars="0"/>
        <w:rPr>
          <w:rFonts w:ascii="Times New Roman" w:hAnsi="Times New Roman" w:eastAsia="黑体" w:cs="Times New Roman"/>
          <w:color w:val="auto"/>
        </w:rPr>
      </w:pP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黑体" w:cs="Times New Roman"/>
          <w:color w:val="auto"/>
        </w:rPr>
        <w:t>（四）审批数量</w:t>
      </w:r>
    </w:p>
    <w:p>
      <w:pPr>
        <w:pStyle w:val="4"/>
        <w:spacing w:line="600" w:lineRule="exact"/>
        <w:ind w:left="0" w:leftChars="0" w:firstLine="0" w:firstLineChars="0"/>
        <w:rPr>
          <w:rFonts w:ascii="Times New Roman" w:hAnsi="Times New Roman" w:eastAsia="仿宋_GB2312" w:cs="Times New Roman"/>
          <w:color w:val="auto"/>
        </w:rPr>
      </w:pPr>
      <w:r>
        <w:rPr>
          <w:rFonts w:hint="eastAsia" w:ascii="Times New Roman" w:hAnsi="Times New Roman" w:eastAsia="仿宋_GB2312" w:cs="Times New Roman"/>
          <w:color w:val="auto"/>
          <w:sz w:val="30"/>
          <w:szCs w:val="30"/>
          <w:lang w:val="en-US" w:eastAsia="zh-CN"/>
        </w:rPr>
        <w:t xml:space="preserve">        </w:t>
      </w:r>
      <w:r>
        <w:rPr>
          <w:rFonts w:ascii="Times New Roman" w:hAnsi="Times New Roman" w:eastAsia="仿宋_GB2312" w:cs="Times New Roman"/>
          <w:color w:val="auto"/>
        </w:rPr>
        <w:t>无数量限制。</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黑体" w:cs="Times New Roman"/>
          <w:color w:val="auto"/>
        </w:rPr>
        <w:t xml:space="preserve">        </w:t>
      </w:r>
      <w:r>
        <w:rPr>
          <w:rFonts w:hint="eastAsia" w:ascii="黑体" w:hAnsi="黑体" w:eastAsia="黑体" w:cs="黑体"/>
          <w:color w:val="auto"/>
          <w:lang w:val="en-US" w:eastAsia="zh-CN"/>
        </w:rPr>
        <w:t>（五）办事条件</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1.新办条件。货物出口收入来源真实合法，且在境外有符合相关规定的支付需求；近两年无违反外汇管理规定行为；</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2.变更条件。企业提高存放境外规模、境内企业集团调整参与成员公司</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禁止性要求：申请材料不齐全，不符合法规规定。</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（六）申请材料</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1. 货物贸易外汇收入存放境外外汇账户新办申请材料清单</w:t>
      </w:r>
    </w:p>
    <w:tbl>
      <w:tblPr>
        <w:tblW w:w="8987" w:type="dxa"/>
        <w:jc w:val="center"/>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726"/>
        <w:gridCol w:w="993"/>
        <w:gridCol w:w="425"/>
        <w:gridCol w:w="1134"/>
        <w:gridCol w:w="2410"/>
        <w:gridCol w:w="1842"/>
      </w:tblGrid>
      <w:tr>
        <w:trPr>
          <w:trHeight w:val="624" w:hRule="atLeast"/>
          <w:jc w:val="center"/>
        </w:trPr>
        <w:tc>
          <w:tcPr>
            <w:tcW w:w="457" w:type="dxa"/>
            <w:vAlign w:val="center"/>
          </w:tcPr>
          <w:p>
            <w:pPr>
              <w:pStyle w:val="13"/>
              <w:ind w:left="107"/>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序</w:t>
            </w:r>
          </w:p>
          <w:p>
            <w:pPr>
              <w:pStyle w:val="13"/>
              <w:ind w:left="107"/>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号</w:t>
            </w:r>
          </w:p>
        </w:tc>
        <w:tc>
          <w:tcPr>
            <w:tcW w:w="1726" w:type="dxa"/>
            <w:vAlign w:val="center"/>
          </w:tcPr>
          <w:p>
            <w:pPr>
              <w:pStyle w:val="13"/>
              <w:ind w:firstLine="118" w:firstLineChars="49"/>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993" w:type="dxa"/>
            <w:vAlign w:val="center"/>
          </w:tcPr>
          <w:p>
            <w:pPr>
              <w:pStyle w:val="13"/>
              <w:ind w:left="195"/>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pStyle w:val="13"/>
              <w:ind w:left="135"/>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425" w:type="dxa"/>
            <w:vAlign w:val="center"/>
          </w:tcPr>
          <w:p>
            <w:pPr>
              <w:pStyle w:val="13"/>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份</w:t>
            </w:r>
          </w:p>
          <w:p>
            <w:pPr>
              <w:pStyle w:val="13"/>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数</w:t>
            </w:r>
          </w:p>
        </w:tc>
        <w:tc>
          <w:tcPr>
            <w:tcW w:w="1134" w:type="dxa"/>
            <w:vAlign w:val="center"/>
          </w:tcPr>
          <w:p>
            <w:pPr>
              <w:pStyle w:val="13"/>
              <w:ind w:left="178"/>
              <w:jc w:val="center"/>
              <w:rPr>
                <w:rFonts w:ascii="Times New Roman" w:hAnsi="Times New Roman" w:eastAsia="仿宋_GB2312" w:cs="Times New Roman"/>
                <w:b/>
                <w:bCs/>
                <w:color w:val="auto"/>
                <w:kern w:val="44"/>
                <w:sz w:val="24"/>
                <w:szCs w:val="24"/>
              </w:rPr>
            </w:pPr>
            <w:r>
              <w:rPr>
                <w:rFonts w:ascii="Times New Roman" w:hAnsi="Times New Roman" w:eastAsia="仿宋_GB2312" w:cs="Times New Roman"/>
                <w:b/>
                <w:color w:val="auto"/>
                <w:sz w:val="24"/>
                <w:szCs w:val="24"/>
              </w:rPr>
              <w:t>纸质/</w:t>
            </w:r>
          </w:p>
          <w:p>
            <w:pPr>
              <w:pStyle w:val="13"/>
              <w:ind w:left="178" w:leftChars="81" w:firstLine="118" w:firstLineChars="49"/>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电子</w:t>
            </w:r>
          </w:p>
        </w:tc>
        <w:tc>
          <w:tcPr>
            <w:tcW w:w="2410" w:type="dxa"/>
            <w:vAlign w:val="center"/>
          </w:tcPr>
          <w:p>
            <w:pPr>
              <w:pStyle w:val="13"/>
              <w:ind w:left="517" w:right="509"/>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842" w:type="dxa"/>
            <w:vAlign w:val="center"/>
          </w:tcPr>
          <w:p>
            <w:pPr>
              <w:pStyle w:val="13"/>
              <w:ind w:left="107" w:right="10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rPr>
          <w:trHeight w:val="306" w:hRule="atLeast"/>
          <w:jc w:val="center"/>
        </w:trPr>
        <w:tc>
          <w:tcPr>
            <w:tcW w:w="457" w:type="dxa"/>
            <w:tcBorders>
              <w:bottom w:val="nil"/>
            </w:tcBorders>
            <w:vAlign w:val="center"/>
          </w:tcPr>
          <w:p>
            <w:pPr>
              <w:pStyle w:val="13"/>
              <w:ind w:left="8"/>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726" w:type="dxa"/>
            <w:tcBorders>
              <w:bottom w:val="nil"/>
            </w:tcBorders>
            <w:vAlign w:val="center"/>
          </w:tcPr>
          <w:p>
            <w:pPr>
              <w:pStyle w:val="13"/>
              <w:ind w:left="106" w:leftChars="48"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993" w:type="dxa"/>
            <w:tcBorders>
              <w:bottom w:val="nil"/>
            </w:tcBorders>
            <w:vAlign w:val="center"/>
          </w:tcPr>
          <w:p>
            <w:pPr>
              <w:pStyle w:val="13"/>
              <w:ind w:right="227"/>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原件</w:t>
            </w:r>
          </w:p>
        </w:tc>
        <w:tc>
          <w:tcPr>
            <w:tcW w:w="425" w:type="dxa"/>
            <w:tcBorders>
              <w:bottom w:val="nil"/>
            </w:tcBorders>
            <w:vAlign w:val="center"/>
          </w:tcPr>
          <w:p>
            <w:pPr>
              <w:pStyle w:val="13"/>
              <w:ind w:left="8"/>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34" w:type="dxa"/>
            <w:tcBorders>
              <w:bottom w:val="nil"/>
            </w:tcBorders>
            <w:vAlign w:val="center"/>
          </w:tcPr>
          <w:p>
            <w:pPr>
              <w:pStyle w:val="13"/>
              <w:ind w:left="121" w:leftChars="55" w:right="211"/>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纸质/电子</w:t>
            </w:r>
          </w:p>
        </w:tc>
        <w:tc>
          <w:tcPr>
            <w:tcW w:w="2410" w:type="dxa"/>
            <w:tcBorders>
              <w:bottom w:val="nil"/>
            </w:tcBorders>
            <w:vAlign w:val="top"/>
          </w:tcPr>
          <w:p>
            <w:pPr>
              <w:rPr>
                <w:rFonts w:ascii="Times New Roman" w:hAnsi="Times New Roman" w:eastAsia="仿宋_GB2312" w:cs="Times New Roman"/>
                <w:color w:val="auto"/>
                <w:kern w:val="2"/>
                <w:sz w:val="24"/>
                <w:szCs w:val="24"/>
                <w:lang w:val="en-US" w:bidi="ar-SA"/>
              </w:rPr>
            </w:pPr>
            <w:r>
              <w:rPr>
                <w:rFonts w:hint="eastAsia" w:ascii="Times New Roman" w:hAnsi="Times New Roman" w:eastAsia="仿宋_GB2312" w:cs="Times New Roman"/>
                <w:color w:val="auto"/>
                <w:kern w:val="2"/>
                <w:sz w:val="24"/>
                <w:szCs w:val="24"/>
                <w:lang w:val="en-US" w:bidi="ar-SA"/>
              </w:rPr>
              <w:t>书面申请由</w:t>
            </w:r>
            <w:r>
              <w:rPr>
                <w:rFonts w:ascii="Times New Roman" w:hAnsi="Times New Roman" w:eastAsia="仿宋_GB2312" w:cs="Times New Roman"/>
                <w:color w:val="auto"/>
                <w:kern w:val="2"/>
                <w:sz w:val="24"/>
                <w:szCs w:val="24"/>
                <w:lang w:val="en-US" w:bidi="ar-SA"/>
              </w:rPr>
              <w:t>法定代表人或其授权人签字并加盖企业公章；</w:t>
            </w:r>
            <w:r>
              <w:rPr>
                <w:rFonts w:hint="eastAsia" w:ascii="Times New Roman" w:hAnsi="Times New Roman" w:eastAsia="仿宋_GB2312" w:cs="Times New Roman"/>
                <w:color w:val="auto"/>
                <w:kern w:val="2"/>
                <w:sz w:val="24"/>
                <w:szCs w:val="24"/>
                <w:lang w:val="en-US" w:bidi="ar-SA"/>
              </w:rPr>
              <w:t>内容包括但不限于：基本情况、业务开展情况、拟开户银行、使用期限、根据实际需要申请的存放境外资金规模等。</w:t>
            </w:r>
          </w:p>
        </w:tc>
        <w:tc>
          <w:tcPr>
            <w:tcW w:w="1842" w:type="dxa"/>
            <w:vMerge w:val="restart"/>
            <w:vAlign w:val="center"/>
          </w:tcPr>
          <w:p>
            <w:pPr>
              <w:pStyle w:val="13"/>
              <w:ind w:right="-29"/>
              <w:rPr>
                <w:rFonts w:ascii="Times New Roman" w:hAnsi="Times New Roman" w:eastAsia="仿宋_GB2312" w:cs="Times New Roman"/>
                <w:color w:val="auto"/>
                <w:kern w:val="2"/>
                <w:sz w:val="24"/>
                <w:szCs w:val="24"/>
                <w:lang w:val="en-US" w:bidi="ar-SA"/>
              </w:rPr>
            </w:pPr>
            <w:r>
              <w:rPr>
                <w:rFonts w:ascii="Times New Roman" w:hAnsi="Times New Roman" w:eastAsia="仿宋_GB2312" w:cs="Times New Roman"/>
                <w:color w:val="auto"/>
                <w:kern w:val="2"/>
                <w:sz w:val="24"/>
                <w:szCs w:val="24"/>
                <w:lang w:val="en-US" w:bidi="ar-SA"/>
              </w:rPr>
              <w:t xml:space="preserve"> </w:t>
            </w:r>
          </w:p>
        </w:tc>
      </w:tr>
      <w:tr>
        <w:trPr>
          <w:trHeight w:val="308" w:hRule="atLeast"/>
          <w:jc w:val="center"/>
        </w:trPr>
        <w:tc>
          <w:tcPr>
            <w:tcW w:w="457" w:type="dxa"/>
            <w:vMerge w:val="restart"/>
            <w:vAlign w:val="center"/>
          </w:tcPr>
          <w:p>
            <w:pPr>
              <w:pStyle w:val="13"/>
              <w:ind w:left="8"/>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w:t>
            </w:r>
          </w:p>
        </w:tc>
        <w:tc>
          <w:tcPr>
            <w:tcW w:w="1726" w:type="dxa"/>
            <w:tcBorders>
              <w:bottom w:val="nil"/>
            </w:tcBorders>
            <w:vAlign w:val="center"/>
          </w:tcPr>
          <w:p>
            <w:pPr>
              <w:pStyle w:val="13"/>
              <w:ind w:left="106"/>
              <w:jc w:val="center"/>
              <w:rPr>
                <w:rFonts w:ascii="Times New Roman" w:hAnsi="Times New Roman" w:eastAsia="仿宋_GB2312" w:cs="Times New Roman"/>
                <w:color w:val="auto"/>
                <w:sz w:val="24"/>
                <w:szCs w:val="24"/>
              </w:rPr>
            </w:pPr>
          </w:p>
          <w:p>
            <w:pPr>
              <w:pStyle w:val="13"/>
              <w:ind w:left="106"/>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《出口收入存放境外登记表》</w:t>
            </w:r>
          </w:p>
        </w:tc>
        <w:tc>
          <w:tcPr>
            <w:tcW w:w="993" w:type="dxa"/>
            <w:vMerge w:val="restart"/>
            <w:vAlign w:val="center"/>
          </w:tcPr>
          <w:p>
            <w:pPr>
              <w:pStyle w:val="13"/>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 xml:space="preserve"> 原件</w:t>
            </w:r>
          </w:p>
        </w:tc>
        <w:tc>
          <w:tcPr>
            <w:tcW w:w="425" w:type="dxa"/>
            <w:vMerge w:val="restart"/>
            <w:vAlign w:val="center"/>
          </w:tcPr>
          <w:p>
            <w:pPr>
              <w:pStyle w:val="13"/>
              <w:ind w:left="8"/>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134" w:type="dxa"/>
            <w:vMerge w:val="restart"/>
            <w:vAlign w:val="center"/>
          </w:tcPr>
          <w:p>
            <w:pPr>
              <w:pStyle w:val="13"/>
              <w:ind w:left="242" w:leftChars="11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p>
          <w:p>
            <w:pPr>
              <w:pStyle w:val="13"/>
              <w:ind w:left="242" w:leftChars="11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电子</w:t>
            </w:r>
          </w:p>
        </w:tc>
        <w:tc>
          <w:tcPr>
            <w:tcW w:w="2410" w:type="dxa"/>
            <w:vMerge w:val="restart"/>
            <w:vAlign w:val="top"/>
          </w:tcPr>
          <w:p>
            <w:pPr>
              <w:jc w:val="both"/>
              <w:rPr>
                <w:rFonts w:ascii="Times New Roman" w:hAnsi="Times New Roman" w:eastAsia="仿宋_GB2312" w:cs="Times New Roman"/>
                <w:color w:val="auto"/>
                <w:kern w:val="2"/>
                <w:sz w:val="24"/>
                <w:szCs w:val="24"/>
                <w:lang w:val="en-US" w:bidi="ar-SA"/>
              </w:rPr>
            </w:pPr>
          </w:p>
        </w:tc>
        <w:tc>
          <w:tcPr>
            <w:tcW w:w="1842" w:type="dxa"/>
            <w:vMerge w:val="continue"/>
            <w:vAlign w:val="top"/>
          </w:tcPr>
          <w:p>
            <w:pPr>
              <w:jc w:val="both"/>
              <w:rPr>
                <w:rFonts w:ascii="Times New Roman" w:hAnsi="Times New Roman" w:eastAsia="仿宋_GB2312" w:cs="Times New Roman"/>
                <w:color w:val="auto"/>
                <w:kern w:val="2"/>
                <w:sz w:val="24"/>
                <w:szCs w:val="24"/>
                <w:lang w:val="en-US" w:bidi="ar-SA"/>
              </w:rPr>
            </w:pPr>
          </w:p>
        </w:tc>
      </w:tr>
      <w:tr>
        <w:trPr>
          <w:trHeight w:val="93" w:hRule="atLeast"/>
          <w:jc w:val="center"/>
        </w:trPr>
        <w:tc>
          <w:tcPr>
            <w:tcW w:w="457" w:type="dxa"/>
            <w:vMerge w:val="continue"/>
            <w:tcBorders>
              <w:top w:val="nil"/>
            </w:tcBorders>
            <w:vAlign w:val="center"/>
          </w:tcPr>
          <w:p>
            <w:pPr>
              <w:jc w:val="center"/>
              <w:rPr>
                <w:rFonts w:ascii="Times New Roman" w:hAnsi="Times New Roman" w:eastAsia="仿宋_GB2312" w:cs="Times New Roman"/>
                <w:color w:val="auto"/>
                <w:sz w:val="24"/>
                <w:szCs w:val="24"/>
              </w:rPr>
            </w:pPr>
          </w:p>
        </w:tc>
        <w:tc>
          <w:tcPr>
            <w:tcW w:w="1726" w:type="dxa"/>
            <w:tcBorders>
              <w:top w:val="nil"/>
            </w:tcBorders>
            <w:vAlign w:val="center"/>
          </w:tcPr>
          <w:p>
            <w:pPr>
              <w:pStyle w:val="13"/>
              <w:jc w:val="center"/>
              <w:rPr>
                <w:rFonts w:ascii="Times New Roman" w:hAnsi="Times New Roman" w:eastAsia="仿宋_GB2312" w:cs="Times New Roman"/>
                <w:color w:val="auto"/>
                <w:sz w:val="24"/>
                <w:szCs w:val="24"/>
              </w:rPr>
            </w:pPr>
          </w:p>
        </w:tc>
        <w:tc>
          <w:tcPr>
            <w:tcW w:w="993" w:type="dxa"/>
            <w:vMerge w:val="continue"/>
            <w:tcBorders>
              <w:top w:val="nil"/>
            </w:tcBorders>
            <w:vAlign w:val="center"/>
          </w:tcPr>
          <w:p>
            <w:pPr>
              <w:jc w:val="center"/>
              <w:rPr>
                <w:rFonts w:ascii="Times New Roman" w:hAnsi="Times New Roman" w:eastAsia="仿宋_GB2312" w:cs="Times New Roman"/>
                <w:color w:val="auto"/>
                <w:sz w:val="24"/>
                <w:szCs w:val="24"/>
              </w:rPr>
            </w:pPr>
          </w:p>
        </w:tc>
        <w:tc>
          <w:tcPr>
            <w:tcW w:w="425" w:type="dxa"/>
            <w:vMerge w:val="continue"/>
            <w:tcBorders>
              <w:top w:val="nil"/>
            </w:tcBorders>
            <w:vAlign w:val="center"/>
          </w:tcPr>
          <w:p>
            <w:pPr>
              <w:jc w:val="center"/>
              <w:rPr>
                <w:rFonts w:ascii="Times New Roman" w:hAnsi="Times New Roman" w:eastAsia="仿宋_GB2312" w:cs="Times New Roman"/>
                <w:color w:val="auto"/>
                <w:sz w:val="24"/>
                <w:szCs w:val="24"/>
              </w:rPr>
            </w:pPr>
          </w:p>
        </w:tc>
        <w:tc>
          <w:tcPr>
            <w:tcW w:w="1134" w:type="dxa"/>
            <w:vMerge w:val="continue"/>
            <w:tcBorders>
              <w:top w:val="nil"/>
            </w:tcBorders>
            <w:vAlign w:val="center"/>
          </w:tcPr>
          <w:p>
            <w:pPr>
              <w:jc w:val="center"/>
              <w:rPr>
                <w:rFonts w:ascii="Times New Roman" w:hAnsi="Times New Roman" w:eastAsia="仿宋_GB2312" w:cs="Times New Roman"/>
                <w:color w:val="auto"/>
                <w:sz w:val="24"/>
                <w:szCs w:val="24"/>
              </w:rPr>
            </w:pPr>
          </w:p>
        </w:tc>
        <w:tc>
          <w:tcPr>
            <w:tcW w:w="2410" w:type="dxa"/>
            <w:vMerge w:val="continue"/>
            <w:tcBorders>
              <w:top w:val="nil"/>
            </w:tcBorders>
            <w:vAlign w:val="top"/>
          </w:tcPr>
          <w:p>
            <w:pPr>
              <w:jc w:val="both"/>
              <w:rPr>
                <w:rFonts w:ascii="Times New Roman" w:hAnsi="Times New Roman" w:eastAsia="仿宋_GB2312" w:cs="Times New Roman"/>
                <w:color w:val="auto"/>
                <w:kern w:val="2"/>
                <w:sz w:val="24"/>
                <w:szCs w:val="24"/>
                <w:lang w:val="en-US" w:bidi="ar-SA"/>
              </w:rPr>
            </w:pPr>
          </w:p>
        </w:tc>
        <w:tc>
          <w:tcPr>
            <w:tcW w:w="1842" w:type="dxa"/>
            <w:vMerge w:val="continue"/>
            <w:vAlign w:val="top"/>
          </w:tcPr>
          <w:p>
            <w:pPr>
              <w:rPr>
                <w:rFonts w:ascii="Times New Roman" w:hAnsi="Times New Roman" w:eastAsia="仿宋_GB2312" w:cs="Times New Roman"/>
                <w:color w:val="auto"/>
                <w:kern w:val="2"/>
                <w:sz w:val="24"/>
                <w:szCs w:val="24"/>
                <w:lang w:val="en-US" w:bidi="ar-SA"/>
              </w:rPr>
            </w:pPr>
          </w:p>
        </w:tc>
      </w:tr>
    </w:tbl>
    <w:p>
      <w:pPr>
        <w:ind w:firstLine="440" w:firstLineChars="200"/>
        <w:rPr>
          <w:rFonts w:ascii="Times New Roman" w:hAnsi="Times New Roman" w:eastAsia="仿宋_GB2312" w:cs="Times New Roman"/>
          <w:color w:val="auto"/>
        </w:rPr>
      </w:pPr>
      <w:r>
        <w:rPr>
          <w:rFonts w:ascii="Times New Roman" w:hAnsi="Times New Roman" w:eastAsia="仿宋_GB2312" w:cs="Times New Roman"/>
          <w:color w:val="auto"/>
        </w:rPr>
        <w:t xml:space="preserve">    </w:t>
      </w:r>
    </w:p>
    <w:p>
      <w:pPr>
        <w:ind w:firstLine="1200" w:firstLineChars="400"/>
        <w:rPr>
          <w:rFonts w:ascii="Times New Roman" w:hAnsi="Times New Roman" w:eastAsia="仿宋_GB2312" w:cs="Times New Roman"/>
          <w:color w:val="auto"/>
        </w:rPr>
      </w:pPr>
      <w:r>
        <w:rPr>
          <w:rFonts w:ascii="Times New Roman" w:hAnsi="Times New Roman" w:eastAsia="仿宋_GB2312" w:cs="Times New Roman"/>
          <w:color w:val="auto"/>
          <w:sz w:val="30"/>
          <w:szCs w:val="30"/>
        </w:rPr>
        <w:t>2.</w:t>
      </w:r>
      <w:r>
        <w:rPr>
          <w:rFonts w:ascii="Times New Roman" w:hAnsi="Times New Roman" w:cs="Times New Roman"/>
          <w:color w:val="auto"/>
          <w:sz w:val="30"/>
          <w:szCs w:val="30"/>
          <w:lang w:val="en-US" w:bidi="ar-SA"/>
        </w:rPr>
        <w:t xml:space="preserve"> </w:t>
      </w:r>
      <w:r>
        <w:rPr>
          <w:rFonts w:ascii="Times New Roman" w:hAnsi="Times New Roman" w:eastAsia="仿宋_GB2312" w:cs="Times New Roman"/>
          <w:color w:val="auto"/>
          <w:sz w:val="30"/>
          <w:szCs w:val="30"/>
          <w:lang w:val="en-US"/>
        </w:rPr>
        <w:t>货物贸易外汇收入存放境外外汇账户</w:t>
      </w:r>
      <w:r>
        <w:rPr>
          <w:rFonts w:ascii="Times New Roman" w:hAnsi="Times New Roman" w:eastAsia="仿宋_GB2312" w:cs="Times New Roman"/>
          <w:color w:val="auto"/>
          <w:sz w:val="30"/>
          <w:szCs w:val="30"/>
        </w:rPr>
        <w:t>变更申请材料清单</w:t>
      </w:r>
    </w:p>
    <w:tbl>
      <w:tblPr>
        <w:tblW w:w="8987" w:type="dxa"/>
        <w:jc w:val="center"/>
        <w:tblInd w:w="6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41"/>
        <w:gridCol w:w="711"/>
        <w:gridCol w:w="567"/>
        <w:gridCol w:w="708"/>
        <w:gridCol w:w="3828"/>
        <w:gridCol w:w="1275"/>
      </w:tblGrid>
      <w:tr>
        <w:trPr>
          <w:trHeight w:val="624" w:hRule="atLeast"/>
          <w:jc w:val="center"/>
        </w:trPr>
        <w:tc>
          <w:tcPr>
            <w:tcW w:w="457" w:type="dxa"/>
            <w:vAlign w:val="center"/>
          </w:tcPr>
          <w:p>
            <w:pPr>
              <w:pStyle w:val="13"/>
              <w:ind w:left="107"/>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序</w:t>
            </w:r>
          </w:p>
          <w:p>
            <w:pPr>
              <w:pStyle w:val="13"/>
              <w:ind w:left="107"/>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号</w:t>
            </w:r>
          </w:p>
        </w:tc>
        <w:tc>
          <w:tcPr>
            <w:tcW w:w="1441" w:type="dxa"/>
            <w:vAlign w:val="center"/>
          </w:tcPr>
          <w:p>
            <w:pPr>
              <w:pStyle w:val="13"/>
              <w:ind w:left="119" w:leftChars="54"/>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提交材料名称</w:t>
            </w:r>
          </w:p>
        </w:tc>
        <w:tc>
          <w:tcPr>
            <w:tcW w:w="711" w:type="dxa"/>
            <w:vAlign w:val="center"/>
          </w:tcPr>
          <w:p>
            <w:pPr>
              <w:pStyle w:val="13"/>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原件/</w:t>
            </w:r>
          </w:p>
          <w:p>
            <w:pPr>
              <w:pStyle w:val="13"/>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复印件</w:t>
            </w:r>
          </w:p>
        </w:tc>
        <w:tc>
          <w:tcPr>
            <w:tcW w:w="567" w:type="dxa"/>
            <w:vAlign w:val="center"/>
          </w:tcPr>
          <w:p>
            <w:pPr>
              <w:pStyle w:val="13"/>
              <w:ind w:left="107"/>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份</w:t>
            </w:r>
          </w:p>
          <w:p>
            <w:pPr>
              <w:pStyle w:val="13"/>
              <w:ind w:left="107"/>
              <w:rPr>
                <w:rFonts w:ascii="Times New Roman" w:hAnsi="Times New Roman" w:eastAsia="仿宋_GB2312" w:cs="Times New Roman"/>
                <w:b/>
                <w:color w:val="auto"/>
                <w:sz w:val="24"/>
                <w:szCs w:val="24"/>
              </w:rPr>
            </w:pPr>
            <w:r>
              <w:rPr>
                <w:rFonts w:ascii="Times New Roman" w:hAnsi="Times New Roman" w:eastAsia="仿宋_GB2312" w:cs="Times New Roman"/>
                <w:b/>
                <w:color w:val="auto"/>
                <w:w w:val="99"/>
                <w:sz w:val="24"/>
                <w:szCs w:val="24"/>
              </w:rPr>
              <w:t>数</w:t>
            </w:r>
          </w:p>
        </w:tc>
        <w:tc>
          <w:tcPr>
            <w:tcW w:w="708" w:type="dxa"/>
            <w:vAlign w:val="center"/>
          </w:tcPr>
          <w:p>
            <w:pPr>
              <w:pStyle w:val="13"/>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纸质/电子</w:t>
            </w:r>
          </w:p>
        </w:tc>
        <w:tc>
          <w:tcPr>
            <w:tcW w:w="3828" w:type="dxa"/>
            <w:vAlign w:val="center"/>
          </w:tcPr>
          <w:p>
            <w:pPr>
              <w:pStyle w:val="13"/>
              <w:ind w:left="517" w:right="509"/>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要求</w:t>
            </w:r>
          </w:p>
        </w:tc>
        <w:tc>
          <w:tcPr>
            <w:tcW w:w="1275" w:type="dxa"/>
            <w:vAlign w:val="center"/>
          </w:tcPr>
          <w:p>
            <w:pPr>
              <w:pStyle w:val="13"/>
              <w:ind w:left="107" w:right="100"/>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rPr>
          <w:trHeight w:val="1858" w:hRule="atLeast"/>
          <w:jc w:val="center"/>
        </w:trPr>
        <w:tc>
          <w:tcPr>
            <w:tcW w:w="457" w:type="dxa"/>
            <w:tcBorders>
              <w:bottom w:val="nil"/>
            </w:tcBorders>
            <w:vAlign w:val="center"/>
          </w:tcPr>
          <w:p>
            <w:pPr>
              <w:pStyle w:val="13"/>
              <w:ind w:left="8"/>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1441" w:type="dxa"/>
            <w:tcBorders>
              <w:bottom w:val="nil"/>
            </w:tcBorders>
            <w:vAlign w:val="center"/>
          </w:tcPr>
          <w:p>
            <w:pPr>
              <w:pStyle w:val="13"/>
              <w:ind w:firstLine="240" w:firstLineChars="1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书面申请</w:t>
            </w:r>
          </w:p>
        </w:tc>
        <w:tc>
          <w:tcPr>
            <w:tcW w:w="711" w:type="dxa"/>
            <w:tcBorders>
              <w:bottom w:val="nil"/>
            </w:tcBorders>
            <w:vAlign w:val="center"/>
          </w:tcPr>
          <w:p>
            <w:pPr>
              <w:pStyle w:val="13"/>
              <w:ind w:right="227"/>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原件</w:t>
            </w:r>
          </w:p>
        </w:tc>
        <w:tc>
          <w:tcPr>
            <w:tcW w:w="567" w:type="dxa"/>
            <w:tcBorders>
              <w:bottom w:val="nil"/>
            </w:tcBorders>
            <w:vAlign w:val="center"/>
          </w:tcPr>
          <w:p>
            <w:pPr>
              <w:pStyle w:val="13"/>
              <w:ind w:left="8"/>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w:t>
            </w:r>
          </w:p>
        </w:tc>
        <w:tc>
          <w:tcPr>
            <w:tcW w:w="708" w:type="dxa"/>
            <w:tcBorders>
              <w:bottom w:val="nil"/>
            </w:tcBorders>
            <w:vAlign w:val="center"/>
          </w:tcPr>
          <w:p>
            <w:pPr>
              <w:pStyle w:val="13"/>
              <w:ind w:firstLine="120" w:firstLineChars="5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纸质</w:t>
            </w:r>
            <w:r>
              <w:rPr>
                <w:rFonts w:ascii="Times New Roman" w:hAnsi="Times New Roman" w:eastAsia="仿宋_GB2312" w:cs="Times New Roman"/>
                <w:b/>
                <w:color w:val="auto"/>
                <w:sz w:val="24"/>
                <w:szCs w:val="24"/>
              </w:rPr>
              <w:t>/</w:t>
            </w:r>
            <w:r>
              <w:rPr>
                <w:rFonts w:ascii="Times New Roman" w:hAnsi="Times New Roman" w:eastAsia="仿宋_GB2312" w:cs="Times New Roman"/>
                <w:color w:val="auto"/>
                <w:sz w:val="24"/>
                <w:szCs w:val="24"/>
              </w:rPr>
              <w:t>电子</w:t>
            </w:r>
          </w:p>
        </w:tc>
        <w:tc>
          <w:tcPr>
            <w:tcW w:w="3828" w:type="dxa"/>
            <w:tcBorders>
              <w:bottom w:val="nil"/>
            </w:tcBorders>
            <w:vAlign w:val="top"/>
          </w:tcPr>
          <w:p>
            <w:pPr>
              <w:rPr>
                <w:rFonts w:ascii="Times New Roman" w:hAnsi="Times New Roman" w:eastAsia="仿宋_GB2312" w:cs="Times New Roman"/>
                <w:color w:val="auto"/>
                <w:sz w:val="24"/>
                <w:szCs w:val="24"/>
              </w:rPr>
            </w:pPr>
            <w:r>
              <w:rPr>
                <w:rFonts w:ascii="Times New Roman" w:hAnsi="Times New Roman" w:eastAsia="仿宋_GB2312" w:cs="Times New Roman"/>
                <w:color w:val="auto"/>
                <w:kern w:val="2"/>
                <w:sz w:val="24"/>
                <w:szCs w:val="24"/>
                <w:lang w:val="en-US" w:bidi="ar-SA"/>
              </w:rPr>
              <w:t>书面申请</w:t>
            </w:r>
            <w:r>
              <w:rPr>
                <w:rFonts w:hint="eastAsia" w:ascii="Times New Roman" w:hAnsi="Times New Roman" w:eastAsia="仿宋_GB2312" w:cs="Times New Roman"/>
                <w:color w:val="auto"/>
                <w:kern w:val="2"/>
                <w:sz w:val="24"/>
                <w:szCs w:val="24"/>
                <w:lang w:val="en-US" w:bidi="ar-SA"/>
              </w:rPr>
              <w:t>由</w:t>
            </w:r>
            <w:r>
              <w:rPr>
                <w:rFonts w:ascii="Times New Roman" w:hAnsi="Times New Roman" w:eastAsia="仿宋_GB2312" w:cs="Times New Roman"/>
                <w:color w:val="auto"/>
                <w:kern w:val="2"/>
                <w:sz w:val="24"/>
                <w:szCs w:val="24"/>
                <w:lang w:val="en-US" w:bidi="ar-SA"/>
              </w:rPr>
              <w:t>法定代表人或其授权人签字并加盖企业公章</w:t>
            </w:r>
            <w:r>
              <w:rPr>
                <w:rFonts w:hint="eastAsia" w:ascii="Times New Roman" w:hAnsi="Times New Roman" w:eastAsia="仿宋_GB2312" w:cs="Times New Roman"/>
                <w:color w:val="auto"/>
                <w:kern w:val="2"/>
                <w:sz w:val="24"/>
                <w:szCs w:val="24"/>
                <w:lang w:val="en-US" w:bidi="ar-SA"/>
              </w:rPr>
              <w:t>；</w:t>
            </w:r>
            <w:r>
              <w:rPr>
                <w:rFonts w:ascii="Times New Roman" w:hAnsi="Times New Roman" w:eastAsia="仿宋_GB2312" w:cs="Times New Roman"/>
                <w:color w:val="auto"/>
                <w:kern w:val="2"/>
                <w:sz w:val="24"/>
                <w:szCs w:val="24"/>
                <w:lang w:val="en-US" w:bidi="ar-SA"/>
              </w:rPr>
              <w:t>对于</w:t>
            </w:r>
            <w:r>
              <w:rPr>
                <w:rFonts w:hint="eastAsia" w:ascii="Times New Roman" w:hAnsi="Times New Roman" w:eastAsia="仿宋_GB2312" w:cs="Times New Roman"/>
                <w:color w:val="auto"/>
                <w:kern w:val="2"/>
                <w:sz w:val="24"/>
                <w:szCs w:val="24"/>
                <w:lang w:val="en-US" w:bidi="ar-SA"/>
              </w:rPr>
              <w:t>调整</w:t>
            </w:r>
            <w:r>
              <w:rPr>
                <w:rFonts w:ascii="Times New Roman" w:hAnsi="Times New Roman" w:eastAsia="仿宋_GB2312" w:cs="Times New Roman"/>
                <w:color w:val="auto"/>
                <w:kern w:val="2"/>
                <w:sz w:val="24"/>
                <w:szCs w:val="24"/>
                <w:lang w:val="en-US" w:bidi="ar-SA"/>
              </w:rPr>
              <w:t>参与成员公司的，需说明新增或减少的成员公司名称</w:t>
            </w:r>
            <w:r>
              <w:rPr>
                <w:rFonts w:hint="eastAsia" w:ascii="Times New Roman" w:hAnsi="Times New Roman" w:eastAsia="仿宋_GB2312" w:cs="Times New Roman"/>
                <w:color w:val="auto"/>
                <w:kern w:val="2"/>
                <w:sz w:val="24"/>
                <w:szCs w:val="24"/>
                <w:lang w:val="en-US" w:bidi="ar-SA"/>
              </w:rPr>
              <w:t>、</w:t>
            </w:r>
            <w:r>
              <w:rPr>
                <w:rFonts w:ascii="Times New Roman" w:hAnsi="Times New Roman" w:eastAsia="仿宋_GB2312" w:cs="Times New Roman"/>
                <w:color w:val="auto"/>
                <w:kern w:val="2"/>
                <w:sz w:val="24"/>
                <w:szCs w:val="24"/>
                <w:lang w:val="en-US" w:bidi="ar-SA"/>
              </w:rPr>
              <w:t>新增成员公司的注册地址、与主办企业的关系、上年度进出口及其收付资金规模以及近两年内有无违反外汇管理规定行为。</w:t>
            </w:r>
          </w:p>
        </w:tc>
        <w:tc>
          <w:tcPr>
            <w:tcW w:w="1275" w:type="dxa"/>
            <w:vMerge w:val="restart"/>
            <w:vAlign w:val="center"/>
          </w:tcPr>
          <w:p>
            <w:pPr>
              <w:pStyle w:val="13"/>
              <w:ind w:right="-29"/>
              <w:rPr>
                <w:rFonts w:ascii="Times New Roman" w:hAnsi="Times New Roman" w:eastAsia="仿宋_GB2312" w:cs="Times New Roman"/>
                <w:color w:val="auto"/>
                <w:sz w:val="24"/>
                <w:szCs w:val="24"/>
              </w:rPr>
            </w:pPr>
          </w:p>
        </w:tc>
      </w:tr>
      <w:tr>
        <w:trPr>
          <w:trHeight w:val="77" w:hRule="atLeast"/>
          <w:jc w:val="center"/>
        </w:trPr>
        <w:tc>
          <w:tcPr>
            <w:tcW w:w="457" w:type="dxa"/>
            <w:tcBorders>
              <w:top w:val="nil"/>
            </w:tcBorders>
            <w:vAlign w:val="center"/>
          </w:tcPr>
          <w:p>
            <w:pPr>
              <w:jc w:val="center"/>
              <w:rPr>
                <w:rFonts w:ascii="Times New Roman" w:hAnsi="Times New Roman" w:eastAsia="仿宋_GB2312" w:cs="Times New Roman"/>
                <w:color w:val="auto"/>
                <w:sz w:val="24"/>
                <w:szCs w:val="24"/>
              </w:rPr>
            </w:pPr>
          </w:p>
        </w:tc>
        <w:tc>
          <w:tcPr>
            <w:tcW w:w="1441" w:type="dxa"/>
            <w:tcBorders>
              <w:top w:val="nil"/>
            </w:tcBorders>
            <w:vAlign w:val="center"/>
          </w:tcPr>
          <w:p>
            <w:pPr>
              <w:pStyle w:val="13"/>
              <w:rPr>
                <w:rFonts w:ascii="Times New Roman" w:hAnsi="Times New Roman" w:eastAsia="仿宋_GB2312" w:cs="Times New Roman"/>
                <w:color w:val="auto"/>
                <w:sz w:val="24"/>
                <w:szCs w:val="24"/>
              </w:rPr>
            </w:pPr>
          </w:p>
        </w:tc>
        <w:tc>
          <w:tcPr>
            <w:tcW w:w="711" w:type="dxa"/>
            <w:tcBorders>
              <w:top w:val="nil"/>
            </w:tcBorders>
            <w:vAlign w:val="center"/>
          </w:tcPr>
          <w:p>
            <w:pPr>
              <w:jc w:val="center"/>
              <w:rPr>
                <w:rFonts w:ascii="Times New Roman" w:hAnsi="Times New Roman" w:eastAsia="仿宋_GB2312" w:cs="Times New Roman"/>
                <w:color w:val="auto"/>
                <w:sz w:val="24"/>
                <w:szCs w:val="24"/>
              </w:rPr>
            </w:pPr>
          </w:p>
        </w:tc>
        <w:tc>
          <w:tcPr>
            <w:tcW w:w="567" w:type="dxa"/>
            <w:tcBorders>
              <w:top w:val="nil"/>
            </w:tcBorders>
            <w:vAlign w:val="center"/>
          </w:tcPr>
          <w:p>
            <w:pPr>
              <w:jc w:val="center"/>
              <w:rPr>
                <w:rFonts w:ascii="Times New Roman" w:hAnsi="Times New Roman" w:eastAsia="仿宋_GB2312" w:cs="Times New Roman"/>
                <w:color w:val="auto"/>
                <w:sz w:val="24"/>
                <w:szCs w:val="24"/>
              </w:rPr>
            </w:pPr>
          </w:p>
        </w:tc>
        <w:tc>
          <w:tcPr>
            <w:tcW w:w="708" w:type="dxa"/>
            <w:tcBorders>
              <w:top w:val="nil"/>
            </w:tcBorders>
            <w:vAlign w:val="center"/>
          </w:tcPr>
          <w:p>
            <w:pPr>
              <w:jc w:val="center"/>
              <w:rPr>
                <w:rFonts w:ascii="Times New Roman" w:hAnsi="Times New Roman" w:eastAsia="仿宋_GB2312" w:cs="Times New Roman"/>
                <w:color w:val="auto"/>
                <w:sz w:val="24"/>
                <w:szCs w:val="24"/>
              </w:rPr>
            </w:pPr>
          </w:p>
        </w:tc>
        <w:tc>
          <w:tcPr>
            <w:tcW w:w="3828" w:type="dxa"/>
            <w:tcBorders>
              <w:top w:val="nil"/>
            </w:tcBorders>
            <w:vAlign w:val="center"/>
          </w:tcPr>
          <w:p>
            <w:pPr>
              <w:jc w:val="both"/>
              <w:rPr>
                <w:rFonts w:ascii="Times New Roman" w:hAnsi="Times New Roman" w:eastAsia="仿宋_GB2312" w:cs="Times New Roman"/>
                <w:color w:val="auto"/>
                <w:sz w:val="24"/>
                <w:szCs w:val="24"/>
              </w:rPr>
            </w:pPr>
          </w:p>
        </w:tc>
        <w:tc>
          <w:tcPr>
            <w:tcW w:w="1275" w:type="dxa"/>
            <w:vMerge w:val="continue"/>
            <w:vAlign w:val="top"/>
          </w:tcPr>
          <w:p>
            <w:pPr>
              <w:rPr>
                <w:rFonts w:ascii="Times New Roman" w:hAnsi="Times New Roman" w:eastAsia="仿宋_GB2312" w:cs="Times New Roman"/>
                <w:color w:val="auto"/>
                <w:sz w:val="24"/>
                <w:szCs w:val="24"/>
              </w:rPr>
            </w:pPr>
          </w:p>
        </w:tc>
      </w:tr>
    </w:tbl>
    <w:p>
      <w:pPr>
        <w:pStyle w:val="4"/>
        <w:widowControl w:val="0"/>
        <w:wordWrap/>
        <w:autoSpaceDE w:val="0"/>
        <w:autoSpaceDN w:val="0"/>
        <w:adjustRightInd/>
        <w:snapToGrid/>
        <w:spacing w:beforeLines="5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（七）申请接受</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申请人可通过国家外汇管理局分支机构提交材料。</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（八）基本办理流程</w:t>
      </w:r>
    </w:p>
    <w:p>
      <w:pPr>
        <w:pStyle w:val="4"/>
        <w:widowControl w:val="0"/>
        <w:wordWrap/>
        <w:autoSpaceDE w:val="0"/>
        <w:autoSpaceDN w:val="0"/>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sz w:val="30"/>
          <w:szCs w:val="30"/>
          <w:lang w:val="en-US" w:eastAsia="zh-CN" w:bidi="zh-CN"/>
        </w:rPr>
      </w:pPr>
      <w:r>
        <w:rPr>
          <w:rFonts w:hint="eastAsia" w:ascii="Times New Roman" w:hAnsi="Times New Roman" w:eastAsia="仿宋_GB2312" w:cs="Times New Roman"/>
          <w:color w:val="auto"/>
          <w:lang w:val="en-US" w:eastAsia="zh-CN"/>
        </w:rPr>
        <w:t xml:space="preserve">     </w:t>
      </w:r>
      <w:r>
        <w:rPr>
          <w:rFonts w:hint="eastAsia" w:ascii="Times New Roman" w:hAnsi="Times New Roman" w:eastAsia="仿宋_GB2312" w:cs="Times New Roman"/>
          <w:sz w:val="30"/>
          <w:szCs w:val="30"/>
          <w:lang w:val="en-US" w:eastAsia="zh-CN" w:bidi="zh-CN"/>
        </w:rPr>
        <w:t xml:space="preserve">   1.申请人提交申请；</w:t>
      </w:r>
    </w:p>
    <w:p>
      <w:pPr>
        <w:widowControl w:val="0"/>
        <w:wordWrap/>
        <w:autoSpaceDE w:val="0"/>
        <w:autoSpaceDN w:val="0"/>
        <w:adjustRightInd w:val="0"/>
        <w:snapToGrid w:val="0"/>
        <w:spacing w:before="0" w:after="0" w:line="360" w:lineRule="auto"/>
        <w:ind w:left="0" w:leftChars="0" w:firstLine="600"/>
        <w:jc w:val="left"/>
        <w:textAlignment w:val="auto"/>
        <w:outlineLvl w:val="9"/>
        <w:rPr>
          <w:rFonts w:hint="eastAsia" w:ascii="Times New Roman" w:hAnsi="Times New Roman" w:eastAsia="仿宋_GB2312" w:cs="Times New Roman"/>
          <w:sz w:val="30"/>
          <w:szCs w:val="30"/>
          <w:lang w:val="en-US" w:eastAsia="zh-CN" w:bidi="zh-CN"/>
        </w:rPr>
      </w:pPr>
      <w:r>
        <w:rPr>
          <w:rFonts w:hint="eastAsia" w:ascii="Times New Roman" w:hAnsi="Times New Roman" w:eastAsia="仿宋_GB2312" w:cs="Times New Roman"/>
          <w:sz w:val="30"/>
          <w:szCs w:val="30"/>
          <w:lang w:val="en-US" w:eastAsia="zh-CN" w:bidi="zh-CN"/>
        </w:rPr>
        <w:t>2.决定是否予以受理；</w:t>
      </w:r>
    </w:p>
    <w:p>
      <w:pPr>
        <w:widowControl w:val="0"/>
        <w:wordWrap/>
        <w:autoSpaceDE w:val="0"/>
        <w:autoSpaceDN w:val="0"/>
        <w:adjustRightInd w:val="0"/>
        <w:snapToGrid w:val="0"/>
        <w:spacing w:before="0" w:after="0" w:line="360" w:lineRule="auto"/>
        <w:ind w:left="0" w:leftChars="0" w:firstLine="6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bidi="zh-CN"/>
        </w:rPr>
        <w:t>3.不属于本机构受</w:t>
      </w:r>
      <w:r>
        <w:rPr>
          <w:rFonts w:hint="eastAsia" w:ascii="Times New Roman" w:hAnsi="Times New Roman" w:eastAsia="仿宋_GB2312" w:cs="Times New Roman"/>
          <w:sz w:val="30"/>
          <w:szCs w:val="30"/>
          <w:lang w:val="en-US" w:eastAsia="zh-CN"/>
        </w:rPr>
        <w:t>理范围的，出具不予受理行政许可通知书；</w:t>
      </w:r>
    </w:p>
    <w:p>
      <w:pPr>
        <w:adjustRightInd w:val="0"/>
        <w:snapToGrid w:val="0"/>
        <w:spacing w:line="360" w:lineRule="auto"/>
        <w:ind w:firstLine="600"/>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4.属于本机构受理范围的，审核申请材料是否齐全或符合法</w:t>
      </w:r>
    </w:p>
    <w:p>
      <w:pPr>
        <w:adjustRightInd w:val="0"/>
        <w:snapToGrid w:val="0"/>
        <w:spacing w:line="360" w:lineRule="auto"/>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定形式；材料不全或不符合法定形式的，一次性告知补正材料，</w:t>
      </w:r>
    </w:p>
    <w:p>
      <w:pPr>
        <w:adjustRightInd w:val="0"/>
        <w:snapToGrid w:val="0"/>
        <w:spacing w:line="360" w:lineRule="auto"/>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并出具行政许可补正通知书；</w:t>
      </w:r>
    </w:p>
    <w:p>
      <w:pPr>
        <w:adjustRightInd w:val="0"/>
        <w:snapToGrid w:val="0"/>
        <w:spacing w:line="360" w:lineRule="auto"/>
        <w:ind w:firstLine="600"/>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5.材料齐全的，依法予以受理，并出具行政许可受理通知书； </w:t>
      </w:r>
    </w:p>
    <w:p>
      <w:pPr>
        <w:adjustRightInd w:val="0"/>
        <w:snapToGrid w:val="0"/>
        <w:spacing w:line="360" w:lineRule="auto"/>
        <w:ind w:firstLine="600"/>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6.不予许可的，做出不予许可的行政许可书面决定并说明理由；予以许可的，出具行政许可决定书。</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（九）办理方式</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一般程序：申请、受理、审查、决定。</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（十）审批时限</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20 个工作日。</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（十一）审批收费依据及标准</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不收费。</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（十二）审批结果</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外汇局向申请企业出具出口收入存放境外登记表。</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（十三）结果送达</w:t>
      </w:r>
    </w:p>
    <w:p>
      <w:pPr>
        <w:widowControl w:val="0"/>
        <w:wordWrap/>
        <w:autoSpaceDE w:val="0"/>
        <w:autoSpaceDN w:val="0"/>
        <w:adjustRightInd w:val="0"/>
        <w:snapToGrid w:val="0"/>
        <w:spacing w:before="0" w:after="0" w:line="360" w:lineRule="auto"/>
        <w:ind w:left="0" w:leftChars="0" w:firstLine="6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通过电话等方式通知申请企业，并通过现场领取或邮寄等</w:t>
      </w:r>
    </w:p>
    <w:p>
      <w:pPr>
        <w:widowControl w:val="0"/>
        <w:wordWrap/>
        <w:autoSpaceDE w:val="0"/>
        <w:autoSpaceDN w:val="0"/>
        <w:adjustRightInd w:val="0"/>
        <w:snapToGrid w:val="0"/>
        <w:spacing w:before="0" w:after="0" w:line="360" w:lineRule="auto"/>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方式将结果送达。</w:t>
      </w:r>
    </w:p>
    <w:p>
      <w:pPr>
        <w:pStyle w:val="4"/>
        <w:widowControl w:val="0"/>
        <w:wordWrap/>
        <w:autoSpaceDE w:val="0"/>
        <w:autoSpaceDN w:val="0"/>
        <w:spacing w:before="0" w:after="0" w:line="360" w:lineRule="auto"/>
        <w:ind w:left="0" w:leftChars="0" w:right="341" w:firstLine="0" w:firstLineChars="0"/>
        <w:jc w:val="left"/>
        <w:textAlignment w:val="auto"/>
        <w:outlineLvl w:val="9"/>
        <w:rPr>
          <w:rFonts w:hint="eastAsia" w:ascii="黑体" w:hAnsi="黑体" w:eastAsia="黑体" w:cs="黑体"/>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（十四）申请人权利和义务</w:t>
      </w:r>
    </w:p>
    <w:p>
      <w:pPr>
        <w:widowControl w:val="0"/>
        <w:wordWrap/>
        <w:autoSpaceDE w:val="0"/>
        <w:autoSpaceDN w:val="0"/>
        <w:adjustRightInd w:val="0"/>
        <w:snapToGrid w:val="0"/>
        <w:spacing w:before="0" w:after="0" w:line="360" w:lineRule="auto"/>
        <w:ind w:left="0" w:leftChars="0" w:firstLine="6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申请人有权依法提出行政审批申请，依法进行投诉、举报、</w:t>
      </w:r>
    </w:p>
    <w:p>
      <w:pPr>
        <w:widowControl w:val="0"/>
        <w:wordWrap/>
        <w:autoSpaceDE w:val="0"/>
        <w:autoSpaceDN w:val="0"/>
        <w:adjustRightInd w:val="0"/>
        <w:snapToGrid w:val="0"/>
        <w:spacing w:before="0" w:after="0" w:line="360" w:lineRule="auto"/>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复议、诉讼等。申请人有义务保证申请材料完整、真实、准确，</w:t>
      </w:r>
    </w:p>
    <w:p>
      <w:pPr>
        <w:widowControl w:val="0"/>
        <w:wordWrap/>
        <w:autoSpaceDE w:val="0"/>
        <w:autoSpaceDN w:val="0"/>
        <w:adjustRightInd w:val="0"/>
        <w:snapToGrid w:val="0"/>
        <w:spacing w:before="0" w:after="0" w:line="360" w:lineRule="auto"/>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获批后合法合规办理相关业务。</w:t>
      </w:r>
    </w:p>
    <w:p>
      <w:pPr>
        <w:pStyle w:val="4"/>
        <w:widowControl w:val="0"/>
        <w:wordWrap/>
        <w:autoSpaceDE w:val="0"/>
        <w:autoSpaceDN w:val="0"/>
        <w:spacing w:before="0" w:after="0" w:line="360" w:lineRule="auto"/>
        <w:ind w:left="0" w:leftChars="0" w:right="341" w:firstLine="0" w:firstLineChars="0"/>
        <w:jc w:val="left"/>
        <w:textAlignment w:val="auto"/>
        <w:outlineLvl w:val="9"/>
        <w:rPr>
          <w:rFonts w:hint="eastAsia" w:ascii="黑体" w:hAnsi="黑体" w:eastAsia="黑体" w:cs="黑体"/>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（十五）咨询途径、监督和投诉</w:t>
      </w:r>
    </w:p>
    <w:p>
      <w:pPr>
        <w:widowControl w:val="0"/>
        <w:wordWrap/>
        <w:autoSpaceDE w:val="0"/>
        <w:autoSpaceDN w:val="0"/>
        <w:adjustRightInd w:val="0"/>
        <w:snapToGrid w:val="0"/>
        <w:spacing w:before="0" w:after="0" w:line="360" w:lineRule="auto"/>
        <w:ind w:left="0" w:leftChars="0" w:firstLine="6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向国家外汇管理局咨询、监督投诉等可通过国家外汇管理</w:t>
      </w:r>
    </w:p>
    <w:p>
      <w:pPr>
        <w:widowControl w:val="0"/>
        <w:wordWrap/>
        <w:autoSpaceDE w:val="0"/>
        <w:autoSpaceDN w:val="0"/>
        <w:adjustRightInd w:val="0"/>
        <w:snapToGrid w:val="0"/>
        <w:spacing w:before="0" w:after="0" w:line="360" w:lineRule="auto"/>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局官方互联网站公众交流栏目进行。网址为</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HYPERLINK "http://www.safe.gov.cn/"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www.safe.gov.cn</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w:t>
      </w:r>
    </w:p>
    <w:p>
      <w:pPr>
        <w:widowControl w:val="0"/>
        <w:wordWrap/>
        <w:autoSpaceDE w:val="0"/>
        <w:autoSpaceDN w:val="0"/>
        <w:adjustRightInd w:val="0"/>
        <w:snapToGrid w:val="0"/>
        <w:spacing w:before="0" w:after="0" w:line="360" w:lineRule="auto"/>
        <w:ind w:left="0" w:leftChars="0" w:firstLine="600"/>
        <w:jc w:val="left"/>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外汇局吉林省分局及分支机构进行咨询、监督和投诉等可通过国家外汇管理局吉林省分局官方互联网站“咨询反馈”栏目进行。网址为www.safe.gov.cn/jilin,也可通过国家外汇管理局吉林省分局官方互联网站“咨询反馈——联系我们”栏目中公布的电话进行。</w:t>
      </w:r>
    </w:p>
    <w:p>
      <w:pPr>
        <w:pStyle w:val="4"/>
        <w:widowControl w:val="0"/>
        <w:wordWrap/>
        <w:autoSpaceDE w:val="0"/>
        <w:autoSpaceDN w:val="0"/>
        <w:spacing w:before="0" w:after="0" w:line="360" w:lineRule="auto"/>
        <w:ind w:left="0" w:leftChars="0" w:right="341" w:firstLine="0" w:firstLineChars="0"/>
        <w:jc w:val="left"/>
        <w:textAlignment w:val="auto"/>
        <w:outlineLvl w:val="9"/>
        <w:rPr>
          <w:rFonts w:hint="eastAsia" w:ascii="黑体" w:hAnsi="黑体" w:eastAsia="黑体" w:cs="黑体"/>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（十六）事项审查类型</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前审后批。</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黑体" w:hAnsi="黑体" w:eastAsia="黑体" w:cs="黑体"/>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（十七）办公地址和时间</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该项行政许可具体由国家外汇管理局吉林省分局及分支机构办理，国家外汇管理局吉林省分局及分支机构的办公地址和办公时间见国家外汇管理局吉林省分局官方互联网站“咨询反馈——联系我们”栏目。</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黑体" w:hAnsi="黑体" w:eastAsia="黑体" w:cs="黑体"/>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（十八）常见问题解答和错误示例</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1.企业首次登记时需注意什么？</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企业首次登记时，书面申请中应注明基本情况、业务开展情况、拟开户银行、使用期限、根据实际需要申请的存放境外资金规模等。</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2.错误示例</w:t>
      </w:r>
    </w:p>
    <w:p>
      <w:pPr>
        <w:pStyle w:val="4"/>
        <w:widowControl w:val="0"/>
        <w:wordWrap/>
        <w:autoSpaceDE w:val="0"/>
        <w:autoSpaceDN w:val="0"/>
        <w:adjustRightInd/>
        <w:snapToGrid/>
        <w:spacing w:before="0" w:after="0" w:line="360" w:lineRule="auto"/>
        <w:ind w:left="0" w:leftChars="0" w:right="341" w:firstLine="0" w:firstLineChars="0"/>
        <w:jc w:val="left"/>
        <w:textAlignment w:val="auto"/>
        <w:outlineLvl w:val="9"/>
        <w:rPr>
          <w:rFonts w:ascii="Times New Roman" w:hAnsi="Times New Roman" w:eastAsia="仿宋_GB2312" w:cs="Times New Roman"/>
          <w:color w:val="auto"/>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注意境外开户银行名称应填写全称，不要误将境外开户银行名称填写为简称，如将“A 银行股份有限公司 XX 分行”填写为“A 行XX 分行”。</w:t>
      </w:r>
    </w:p>
    <w:p>
      <w:pPr>
        <w:spacing w:line="600" w:lineRule="exact"/>
        <w:jc w:val="both"/>
        <w:rPr>
          <w:rFonts w:ascii="Times New Roman" w:hAnsi="Times New Roman" w:eastAsia="仿宋_GB2312" w:cs="Times New Roman"/>
          <w:color w:val="auto"/>
          <w:sz w:val="30"/>
          <w:szCs w:val="30"/>
        </w:rPr>
        <w:sectPr>
          <w:footerReference r:id="rId4" w:type="default"/>
          <w:pgSz w:w="11910" w:h="16840"/>
          <w:pgMar w:top="1440" w:right="1378" w:bottom="1440" w:left="1803" w:header="0" w:footer="1196" w:gutter="0"/>
          <w:paperSrc w:first="0" w:other="0"/>
          <w:cols w:space="720" w:num="1"/>
        </w:sectPr>
      </w:pPr>
    </w:p>
    <w:p>
      <w:pPr>
        <w:pStyle w:val="4"/>
        <w:spacing w:line="600" w:lineRule="exact"/>
        <w:ind w:left="0"/>
        <w:rPr>
          <w:rFonts w:ascii="Times New Roman" w:hAnsi="Times New Roman" w:eastAsia="仿宋_GB2312" w:cs="Times New Roman"/>
          <w:color w:val="auto"/>
        </w:rPr>
      </w:pPr>
      <w:r>
        <w:rPr>
          <w:rFonts w:ascii="Times New Roman" w:hAnsi="Times New Roman" w:eastAsia="仿宋_GB2312" w:cs="Times New Roman"/>
          <w:color w:val="auto"/>
        </w:rPr>
        <w:t>附录一</w:t>
      </w:r>
    </w:p>
    <w:p>
      <w:pPr>
        <w:ind w:right="300"/>
        <w:rPr>
          <w:rFonts w:ascii="Times New Roman" w:hAnsi="Times New Roman" w:eastAsia="仿宋_GB2312" w:cs="Times New Roman"/>
          <w:color w:val="auto"/>
          <w:sz w:val="30"/>
          <w:szCs w:val="30"/>
        </w:rPr>
      </w:pPr>
    </w:p>
    <w:p>
      <w:pPr>
        <w:ind w:right="300"/>
        <w:jc w:val="center"/>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基本流程图</w:t>
      </w:r>
    </w:p>
    <w:p>
      <w:pPr>
        <w:rPr>
          <w:rFonts w:ascii="Times New Roman" w:hAnsi="Times New Roman" w:eastAsia="仿宋_GB2312" w:cs="Times New Roman"/>
          <w:color w:val="auto"/>
          <w:sz w:val="30"/>
          <w:szCs w:val="30"/>
        </w:rPr>
      </w:pPr>
      <w:r>
        <w:rPr>
          <w:rFonts w:ascii="Times New Roman" w:hAnsi="Times New Roman" w:eastAsia="仿宋_GB2312" w:cs="Times New Roman"/>
          <w:color w:val="auto"/>
          <w:sz w:val="22"/>
          <w:szCs w:val="22"/>
          <w:lang w:val="en-US" w:eastAsia="zh-CN" w:bidi="ar-SA"/>
        </w:rPr>
        <w:pict>
          <v:group id="组合 1027" o:spid="_x0000_s1029" style="position:absolute;left:0;margin-left:-8.25pt;margin-top:26.45pt;height:470.9pt;width:461.8pt;rotation:0f;z-index:251659264;" coordorigin="205,3287" coordsize="9236,9418">
            <o:lock v:ext="edit" position="f" selection="f" grouping="f" rotation="f" cropping="f" text="f" aspectratio="f"/>
            <v:shape id="_x0000_s2216" o:spid="_x0000_s1030" type="#_x0000_t32" style="position:absolute;left:1818;top:4763;height:52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29" o:spid="_x0000_s1031" style="position:absolute;left:205;top:3287;height:9418;width:9236;rotation:0f;" coordorigin="205,3287" coordsize="9236,9418">
              <o:lock v:ext="edit" position="f" selection="f" grouping="f" rotation="f" cropping="f" text="f" aspectratio="f"/>
              <v:shape id="_x0000_s2218" o:spid="_x0000_s1032" type="#_x0000_t116" style="position:absolute;left:782;top:3287;height:1476;width:20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left="425" w:leftChars="193"/>
                        <w:rPr>
                          <w:rFonts w:ascii="宋体" w:hAnsi="宋体" w:eastAsia="宋体"/>
                          <w:sz w:val="21"/>
                          <w:szCs w:val="21"/>
                        </w:rPr>
                      </w:pPr>
                      <w:r>
                        <w:rPr>
                          <w:rFonts w:hint="eastAsia" w:ascii="宋体" w:hAnsi="宋体" w:eastAsia="宋体"/>
                          <w:sz w:val="21"/>
                          <w:szCs w:val="21"/>
                        </w:rPr>
                        <w:t>申请人提出申请，并提交材料</w:t>
                      </w:r>
                    </w:p>
                  </w:txbxContent>
                </v:textbox>
              </v:shape>
              <v:shape id="_x0000_s2219" o:spid="_x0000_s1033" type="#_x0000_t4" style="position:absolute;left:205;top:5291;height:2129;width:327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接件并于5个工作日内作出是否受理决定</w:t>
                      </w:r>
                    </w:p>
                  </w:txbxContent>
                </v:textbox>
              </v:shape>
              <v:rect id="_x0000_s2220" o:spid="_x0000_s1034" style="position:absolute;left:6512;top:3957;height:674;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right="-1199" w:rightChars="-545"/>
                      </w:pPr>
                      <w:r>
                        <w:rPr>
                          <w:rFonts w:hint="eastAsia"/>
                        </w:rPr>
                        <w:t>申请人补全材料</w:t>
                      </w:r>
                    </w:p>
                  </w:txbxContent>
                </v:textbox>
              </v:rect>
              <v:rect id="_x0000_s2221" o:spid="_x0000_s1035" style="position:absolute;left:4079;top:5626;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ascii="宋体" w:hAnsi="宋体" w:eastAsia="宋体"/>
                          <w:sz w:val="21"/>
                          <w:szCs w:val="21"/>
                        </w:rPr>
                        <w:t>材料不全或不符合法定形式的，一次性告知补正材</w:t>
                      </w:r>
                      <w:r>
                        <w:rPr>
                          <w:rFonts w:hint="eastAsia"/>
                        </w:rPr>
                        <w:t>料</w:t>
                      </w:r>
                    </w:p>
                  </w:txbxContent>
                </v:textbox>
              </v:rect>
              <v:rect id="_x0000_s2222" o:spid="_x0000_s1036" style="position:absolute;left:4079;top:6514;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依法不予受理的，作出不予受理决定，出具不予受理通知书</w:t>
                      </w:r>
                    </w:p>
                  </w:txbxContent>
                </v:textbox>
              </v:rect>
              <v:rect id="_x0000_s2223" o:spid="_x0000_s1037" style="position:absolute;left:2674;top:7751;height:1397;width:4218;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材料齐全的，依法予以受理</w:t>
                      </w:r>
                    </w:p>
                  </w:txbxContent>
                </v:textbox>
              </v:rect>
              <v:shape id="_x0000_s2224" o:spid="_x0000_s1038" type="#_x0000_t4" style="position:absolute;left:2907;top:9585;height:1708;width:353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420" w:firstLineChars="200"/>
                        <w:rPr>
                          <w:rFonts w:ascii="宋体" w:hAnsi="宋体" w:eastAsia="宋体"/>
                          <w:sz w:val="21"/>
                          <w:szCs w:val="21"/>
                        </w:rPr>
                      </w:pPr>
                      <w:r>
                        <w:rPr>
                          <w:rFonts w:hint="eastAsia" w:ascii="宋体" w:hAnsi="宋体" w:eastAsia="宋体"/>
                          <w:sz w:val="21"/>
                          <w:szCs w:val="21"/>
                        </w:rPr>
                        <w:t>审查报批</w:t>
                      </w:r>
                    </w:p>
                  </w:txbxContent>
                </v:textbox>
              </v:shape>
              <v:shape id="_x0000_s2225" o:spid="_x0000_s1039" type="#_x0000_t116" style="position:absolute;left:5368;top:11738;height:967;width:36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依法作出不予许可决定</w:t>
                      </w:r>
                    </w:p>
                  </w:txbxContent>
                </v:textbox>
              </v:shape>
              <v:shape id="_x0000_s2226" o:spid="_x0000_s1040" type="#_x0000_t116" style="position:absolute;left:978;top:11738;height:967;width:411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ascii="宋体" w:hAnsi="宋体" w:eastAsia="宋体"/>
                          <w:sz w:val="21"/>
                          <w:szCs w:val="21"/>
                        </w:rPr>
                      </w:pPr>
                      <w:r>
                        <w:rPr>
                          <w:rFonts w:hint="eastAsia" w:ascii="宋体" w:hAnsi="宋体" w:eastAsia="宋体"/>
                          <w:sz w:val="21"/>
                          <w:szCs w:val="21"/>
                        </w:rPr>
                        <w:t>予以许可</w:t>
                      </w:r>
                    </w:p>
                  </w:txbxContent>
                </v:textbox>
              </v:shape>
              <v:shape id="_x0000_s2227" o:spid="_x0000_s1041" type="#_x0000_t32" style="position:absolute;left:2809;top:5894;height:1;width:127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28" o:spid="_x0000_s1042" type="#_x0000_t32" style="position:absolute;left:2809;top:6764;height:1;width:127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29" o:spid="_x0000_s1043" type="#_x0000_t32" style="position:absolute;left:7946;top:4631;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30" o:spid="_x0000_s1044" type="#_x0000_t32" style="position:absolute;left:2809;top:4346;flip:x;height:0;width:37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31" o:spid="_x0000_s1045" type="#_x0000_t32" style="position:absolute;left:4632;top:9148;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32" o:spid="_x0000_s1046" type="#_x0000_t32" style="position:absolute;left:5996;top:10681;height:1057;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33" o:spid="_x0000_s1047" type="#_x0000_t32" style="position:absolute;left:3482;top:10681;height:1057;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_x0000_s2234" o:spid="_x0000_s1048" type="#_x0000_t32" style="position:absolute;left:1853;top:7420;height:921;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_x0000_s2235" o:spid="_x0000_s1049" type="#_x0000_t32" style="position:absolute;left:1853;top:8339;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w:pict>
      </w:r>
      <w:r>
        <w:rPr>
          <w:rFonts w:ascii="Times New Roman" w:hAnsi="Times New Roman" w:eastAsia="仿宋_GB2312" w:cs="Times New Roman"/>
          <w:color w:val="auto"/>
        </w:rPr>
        <w:br w:type="page"/>
      </w:r>
    </w:p>
    <w:p>
      <w:pPr>
        <w:pStyle w:val="4"/>
        <w:spacing w:line="600" w:lineRule="exact"/>
        <w:ind w:left="0"/>
        <w:rPr>
          <w:rFonts w:ascii="Times New Roman" w:hAnsi="Times New Roman" w:eastAsia="仿宋_GB2312" w:cs="Times New Roman"/>
          <w:color w:val="auto"/>
        </w:rPr>
      </w:pPr>
      <w:r>
        <w:rPr>
          <w:rFonts w:ascii="Times New Roman" w:hAnsi="Times New Roman" w:eastAsia="仿宋_GB2312" w:cs="Times New Roman"/>
          <w:color w:val="auto"/>
        </w:rPr>
        <w:t>附录二</w:t>
      </w:r>
    </w:p>
    <w:p>
      <w:pPr>
        <w:pStyle w:val="4"/>
        <w:spacing w:line="600" w:lineRule="exact"/>
        <w:ind w:left="0"/>
        <w:rPr>
          <w:rFonts w:ascii="Times New Roman" w:hAnsi="Times New Roman" w:eastAsia="仿宋_GB2312" w:cs="Times New Roman"/>
          <w:color w:val="auto"/>
        </w:rPr>
      </w:pPr>
    </w:p>
    <w:p>
      <w:pPr>
        <w:pStyle w:val="4"/>
        <w:spacing w:line="600" w:lineRule="exact"/>
        <w:ind w:left="0" w:leftChars="0" w:right="341" w:firstLine="0" w:firstLineChars="0"/>
        <w:jc w:val="center"/>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XX 公司关于开立出口收入存放境外外汇账户的申请</w:t>
      </w:r>
    </w:p>
    <w:p>
      <w:pPr>
        <w:pStyle w:val="4"/>
        <w:spacing w:line="600" w:lineRule="exact"/>
        <w:ind w:left="0" w:leftChars="0" w:right="341" w:firstLine="0" w:firstLineChars="0"/>
        <w:jc w:val="center"/>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（示范文本）</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国家外汇管理局XX 分（支）局：</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我公司成立于XXXX 年，注册资金 XX 万元（公司基本情况介绍，近两年内有无违反外汇管理规定行为）。</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XXXX年-XXXX年，我公司贸易进出口及外汇收支额分别为……。因……业务需要，拟在X 国X 银行开立出口收入存放境外账户， 年度累计出口收入存放境外资金规模为X。</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我公司存放境外业务类型为XXXX（单一型、集团型主办、集团型成员）。集团型业务需说明成员公司与主办企业是否存在所属不同外汇局相关情况。</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特此申请。</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 xml:space="preserve">                                       单位（盖章）：</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w:t>
      </w:r>
      <w:r>
        <w:rPr>
          <w:rFonts w:hint="eastAsia" w:ascii="黑体" w:hAnsi="黑体" w:eastAsia="黑体" w:cs="黑体"/>
          <w:color w:val="auto"/>
          <w:lang w:val="en-US" w:eastAsia="zh-CN"/>
        </w:rPr>
        <w:t xml:space="preserve"> </w:t>
      </w:r>
      <w:r>
        <w:rPr>
          <w:rFonts w:hint="eastAsia" w:ascii="Times New Roman" w:hAnsi="Times New Roman" w:eastAsia="仿宋_GB2312" w:cs="Times New Roman"/>
          <w:color w:val="auto"/>
          <w:lang w:val="en-US" w:eastAsia="zh-CN"/>
        </w:rPr>
        <w:t>法定代表人或授权人（签字）：</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 xml:space="preserve">                                                                    年</w:t>
      </w:r>
      <w:r>
        <w:rPr>
          <w:rFonts w:hint="eastAsia" w:ascii="Times New Roman" w:hAnsi="Times New Roman" w:eastAsia="仿宋_GB2312" w:cs="Times New Roman"/>
          <w:color w:val="auto"/>
          <w:lang w:val="en-US" w:eastAsia="zh-CN"/>
        </w:rPr>
        <w:tab/>
      </w:r>
      <w:r>
        <w:rPr>
          <w:rFonts w:hint="eastAsia" w:ascii="Times New Roman" w:hAnsi="Times New Roman" w:eastAsia="仿宋_GB2312" w:cs="Times New Roman"/>
          <w:color w:val="auto"/>
          <w:lang w:val="en-US" w:eastAsia="zh-CN"/>
        </w:rPr>
        <w:t>月</w:t>
      </w:r>
      <w:r>
        <w:rPr>
          <w:rFonts w:hint="eastAsia" w:ascii="Times New Roman" w:hAnsi="Times New Roman" w:eastAsia="仿宋_GB2312" w:cs="Times New Roman"/>
          <w:color w:val="auto"/>
          <w:lang w:val="en-US" w:eastAsia="zh-CN"/>
        </w:rPr>
        <w:tab/>
      </w:r>
      <w:r>
        <w:rPr>
          <w:rFonts w:hint="eastAsia" w:ascii="Times New Roman" w:hAnsi="Times New Roman" w:eastAsia="仿宋_GB2312" w:cs="Times New Roman"/>
          <w:color w:val="auto"/>
          <w:lang w:val="en-US" w:eastAsia="zh-CN"/>
        </w:rPr>
        <w:t>日</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sectPr>
          <w:pgSz w:w="11910" w:h="16840"/>
          <w:pgMar w:top="1440" w:right="1378" w:bottom="1440" w:left="1803" w:header="0" w:footer="1196" w:gutter="0"/>
          <w:paperSrc w:first="0" w:other="0"/>
          <w:cols w:space="720" w:num="1"/>
        </w:sectPr>
      </w:pP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附录三</w:t>
      </w:r>
    </w:p>
    <w:p>
      <w:pPr>
        <w:pStyle w:val="4"/>
        <w:spacing w:line="600" w:lineRule="exact"/>
        <w:ind w:left="0" w:leftChars="0" w:right="341" w:firstLine="0" w:firstLineChars="0"/>
        <w:rPr>
          <w:rFonts w:hint="eastAsia" w:ascii="Times New Roman" w:hAnsi="Times New Roman" w:eastAsia="仿宋_GB2312" w:cs="Times New Roman"/>
          <w:color w:val="auto"/>
          <w:lang w:val="en-US" w:eastAsia="zh-CN"/>
        </w:rPr>
      </w:pPr>
    </w:p>
    <w:p>
      <w:pPr>
        <w:pStyle w:val="4"/>
        <w:spacing w:line="600" w:lineRule="exact"/>
        <w:ind w:left="0" w:leftChars="0" w:right="341" w:firstLine="0" w:firstLineChars="0"/>
        <w:jc w:val="center"/>
        <w:rPr>
          <w:rFonts w:hint="eastAsia" w:ascii="Times New Roman" w:hAnsi="Times New Roman" w:eastAsia="仿宋_GB2312" w:cs="Times New Roman"/>
          <w:color w:val="auto"/>
          <w:lang w:val="en-US" w:eastAsia="zh-CN"/>
        </w:rPr>
      </w:pPr>
      <w:r>
        <w:rPr>
          <w:rFonts w:hint="eastAsia" w:ascii="Times New Roman" w:hAnsi="Times New Roman" w:eastAsia="仿宋_GB2312" w:cs="Times New Roman"/>
          <w:color w:val="auto"/>
          <w:lang w:val="en-US" w:eastAsia="zh-CN"/>
        </w:rPr>
        <w:t>出口收入存放境外登记表（示范文本）</w:t>
      </w:r>
    </w:p>
    <w:p>
      <w:pPr>
        <w:pStyle w:val="4"/>
        <w:spacing w:line="420" w:lineRule="exact"/>
        <w:ind w:left="735" w:right="395"/>
        <w:jc w:val="center"/>
        <w:rPr>
          <w:rFonts w:ascii="Times New Roman" w:hAnsi="Times New Roman" w:eastAsia="仿宋_GB2312" w:cs="Times New Roman"/>
          <w:color w:val="auto"/>
        </w:rPr>
      </w:pPr>
    </w:p>
    <w:tbl>
      <w:tblPr>
        <w:tblW w:w="8396" w:type="dxa"/>
        <w:jc w:val="center"/>
        <w:tblInd w:w="72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30"/>
        <w:gridCol w:w="2114"/>
        <w:gridCol w:w="1882"/>
        <w:gridCol w:w="1570"/>
      </w:tblGrid>
      <w:tr>
        <w:trPr>
          <w:trHeight w:val="1061" w:hRule="atLeast"/>
          <w:jc w:val="center"/>
        </w:trPr>
        <w:tc>
          <w:tcPr>
            <w:tcW w:w="2830" w:type="dxa"/>
            <w:vAlign w:val="top"/>
          </w:tcPr>
          <w:p>
            <w:pPr>
              <w:pStyle w:val="13"/>
              <w:spacing w:line="420" w:lineRule="exact"/>
              <w:ind w:left="279" w:right="266"/>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企业名称</w:t>
            </w:r>
          </w:p>
          <w:p>
            <w:pPr>
              <w:pStyle w:val="13"/>
              <w:spacing w:line="420" w:lineRule="exact"/>
              <w:ind w:left="279" w:right="266"/>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（加盖企业公章）</w:t>
            </w:r>
          </w:p>
        </w:tc>
        <w:tc>
          <w:tcPr>
            <w:tcW w:w="2114" w:type="dxa"/>
            <w:vAlign w:val="top"/>
          </w:tcPr>
          <w:p>
            <w:pPr>
              <w:pStyle w:val="13"/>
              <w:keepNext/>
              <w:keepLines/>
              <w:spacing w:line="420" w:lineRule="exact"/>
              <w:rPr>
                <w:rFonts w:ascii="Times New Roman" w:hAnsi="Times New Roman" w:eastAsia="仿宋_GB2312" w:cs="Times New Roman"/>
                <w:color w:val="auto"/>
                <w:sz w:val="24"/>
                <w:szCs w:val="24"/>
              </w:rPr>
            </w:pPr>
          </w:p>
        </w:tc>
        <w:tc>
          <w:tcPr>
            <w:tcW w:w="1882" w:type="dxa"/>
            <w:vAlign w:val="top"/>
          </w:tcPr>
          <w:p>
            <w:pPr>
              <w:pStyle w:val="13"/>
              <w:spacing w:line="420" w:lineRule="exact"/>
              <w:ind w:left="819" w:right="85" w:hanging="72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统一社会信用</w:t>
            </w:r>
          </w:p>
          <w:p>
            <w:pPr>
              <w:pStyle w:val="13"/>
              <w:spacing w:line="420" w:lineRule="exact"/>
              <w:ind w:left="819" w:right="85" w:hanging="72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代码</w:t>
            </w:r>
          </w:p>
        </w:tc>
        <w:tc>
          <w:tcPr>
            <w:tcW w:w="1570" w:type="dxa"/>
            <w:vAlign w:val="top"/>
          </w:tcPr>
          <w:p>
            <w:pPr>
              <w:pStyle w:val="13"/>
              <w:spacing w:line="420" w:lineRule="exact"/>
              <w:rPr>
                <w:rFonts w:ascii="Times New Roman" w:hAnsi="Times New Roman" w:eastAsia="仿宋_GB2312" w:cs="Times New Roman"/>
                <w:color w:val="auto"/>
                <w:sz w:val="24"/>
                <w:szCs w:val="24"/>
              </w:rPr>
            </w:pPr>
          </w:p>
        </w:tc>
      </w:tr>
      <w:tr>
        <w:trPr>
          <w:trHeight w:val="539" w:hRule="atLeast"/>
          <w:jc w:val="center"/>
        </w:trPr>
        <w:tc>
          <w:tcPr>
            <w:tcW w:w="8396" w:type="dxa"/>
            <w:gridSpan w:val="4"/>
            <w:vAlign w:val="top"/>
          </w:tcPr>
          <w:p>
            <w:pPr>
              <w:pStyle w:val="13"/>
              <w:spacing w:line="420" w:lineRule="exact"/>
              <w:ind w:firstLine="4560" w:firstLineChars="190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拟开户情况（企业填写）</w:t>
            </w:r>
          </w:p>
        </w:tc>
      </w:tr>
      <w:tr>
        <w:trPr>
          <w:trHeight w:val="713" w:hRule="atLeast"/>
          <w:jc w:val="center"/>
        </w:trPr>
        <w:tc>
          <w:tcPr>
            <w:tcW w:w="2830" w:type="dxa"/>
            <w:vAlign w:val="top"/>
          </w:tcPr>
          <w:p>
            <w:pPr>
              <w:pStyle w:val="13"/>
              <w:spacing w:line="420" w:lineRule="exact"/>
              <w:ind w:left="29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境外开户银行名称</w:t>
            </w:r>
          </w:p>
          <w:p>
            <w:pPr>
              <w:pStyle w:val="13"/>
              <w:spacing w:line="420" w:lineRule="exact"/>
              <w:ind w:left="41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（中文或英文）</w:t>
            </w:r>
          </w:p>
        </w:tc>
        <w:tc>
          <w:tcPr>
            <w:tcW w:w="5566" w:type="dxa"/>
            <w:gridSpan w:val="3"/>
            <w:vAlign w:val="top"/>
          </w:tcPr>
          <w:p>
            <w:pPr>
              <w:pStyle w:val="13"/>
              <w:spacing w:line="420" w:lineRule="exact"/>
              <w:rPr>
                <w:rFonts w:ascii="Times New Roman" w:hAnsi="Times New Roman" w:eastAsia="仿宋_GB2312" w:cs="Times New Roman"/>
                <w:color w:val="auto"/>
                <w:sz w:val="24"/>
                <w:szCs w:val="24"/>
              </w:rPr>
            </w:pPr>
          </w:p>
        </w:tc>
      </w:tr>
      <w:tr>
        <w:trPr>
          <w:trHeight w:val="1026" w:hRule="atLeast"/>
          <w:jc w:val="center"/>
        </w:trPr>
        <w:tc>
          <w:tcPr>
            <w:tcW w:w="2830" w:type="dxa"/>
            <w:vAlign w:val="top"/>
          </w:tcPr>
          <w:p>
            <w:pPr>
              <w:pStyle w:val="13"/>
              <w:spacing w:line="420" w:lineRule="exact"/>
              <w:ind w:left="29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境外开户银行代码</w:t>
            </w:r>
          </w:p>
          <w:p>
            <w:pPr>
              <w:pStyle w:val="13"/>
              <w:spacing w:line="420" w:lineRule="exact"/>
              <w:ind w:left="39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（SWIFT CODE</w:t>
            </w:r>
            <w:r>
              <w:rPr>
                <w:rFonts w:ascii="Times New Roman" w:hAnsi="Times New Roman" w:eastAsia="仿宋_GB2312" w:cs="Times New Roman"/>
                <w:color w:val="auto"/>
                <w:spacing w:val="-30"/>
                <w:sz w:val="24"/>
                <w:szCs w:val="24"/>
              </w:rPr>
              <w:t xml:space="preserve"> 或</w:t>
            </w:r>
          </w:p>
          <w:p>
            <w:pPr>
              <w:pStyle w:val="13"/>
              <w:spacing w:line="420" w:lineRule="exact"/>
              <w:ind w:left="29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金融机构标识码）</w:t>
            </w:r>
          </w:p>
        </w:tc>
        <w:tc>
          <w:tcPr>
            <w:tcW w:w="5566" w:type="dxa"/>
            <w:gridSpan w:val="3"/>
            <w:vAlign w:val="top"/>
          </w:tcPr>
          <w:p>
            <w:pPr>
              <w:pStyle w:val="13"/>
              <w:spacing w:line="420" w:lineRule="exact"/>
              <w:rPr>
                <w:rFonts w:ascii="Times New Roman" w:hAnsi="Times New Roman" w:eastAsia="仿宋_GB2312" w:cs="Times New Roman"/>
                <w:color w:val="auto"/>
                <w:sz w:val="24"/>
                <w:szCs w:val="24"/>
              </w:rPr>
            </w:pPr>
          </w:p>
        </w:tc>
      </w:tr>
      <w:tr>
        <w:trPr>
          <w:trHeight w:val="714" w:hRule="atLeast"/>
          <w:jc w:val="center"/>
        </w:trPr>
        <w:tc>
          <w:tcPr>
            <w:tcW w:w="2830" w:type="dxa"/>
            <w:vAlign w:val="top"/>
          </w:tcPr>
          <w:p>
            <w:pPr>
              <w:pStyle w:val="13"/>
              <w:spacing w:line="420" w:lineRule="exact"/>
              <w:ind w:left="53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境外开户户名</w:t>
            </w:r>
          </w:p>
          <w:p>
            <w:pPr>
              <w:pStyle w:val="13"/>
              <w:spacing w:line="420" w:lineRule="exact"/>
              <w:ind w:left="41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（中文或英文）</w:t>
            </w:r>
          </w:p>
        </w:tc>
        <w:tc>
          <w:tcPr>
            <w:tcW w:w="5566" w:type="dxa"/>
            <w:gridSpan w:val="3"/>
            <w:vAlign w:val="top"/>
          </w:tcPr>
          <w:p>
            <w:pPr>
              <w:pStyle w:val="13"/>
              <w:spacing w:line="420" w:lineRule="exact"/>
              <w:rPr>
                <w:rFonts w:ascii="Times New Roman" w:hAnsi="Times New Roman" w:eastAsia="仿宋_GB2312" w:cs="Times New Roman"/>
                <w:color w:val="auto"/>
                <w:sz w:val="24"/>
                <w:szCs w:val="24"/>
              </w:rPr>
            </w:pPr>
          </w:p>
        </w:tc>
      </w:tr>
      <w:tr>
        <w:trPr>
          <w:trHeight w:val="713" w:hRule="atLeast"/>
          <w:jc w:val="center"/>
        </w:trPr>
        <w:tc>
          <w:tcPr>
            <w:tcW w:w="2830" w:type="dxa"/>
            <w:vAlign w:val="top"/>
          </w:tcPr>
          <w:p>
            <w:pPr>
              <w:pStyle w:val="13"/>
              <w:spacing w:line="420" w:lineRule="exact"/>
              <w:ind w:right="643" w:firstLine="240" w:firstLineChars="10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境外开户</w:t>
            </w:r>
          </w:p>
          <w:p>
            <w:pPr>
              <w:pStyle w:val="13"/>
              <w:spacing w:line="420" w:lineRule="exact"/>
              <w:ind w:right="643" w:firstLine="240" w:firstLineChars="10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国别或地区</w:t>
            </w:r>
          </w:p>
        </w:tc>
        <w:tc>
          <w:tcPr>
            <w:tcW w:w="5566" w:type="dxa"/>
            <w:gridSpan w:val="3"/>
            <w:vAlign w:val="top"/>
          </w:tcPr>
          <w:p>
            <w:pPr>
              <w:pStyle w:val="13"/>
              <w:spacing w:line="420" w:lineRule="exact"/>
              <w:rPr>
                <w:rFonts w:ascii="Times New Roman" w:hAnsi="Times New Roman" w:eastAsia="仿宋_GB2312" w:cs="Times New Roman"/>
                <w:color w:val="auto"/>
                <w:sz w:val="24"/>
                <w:szCs w:val="24"/>
              </w:rPr>
            </w:pPr>
          </w:p>
        </w:tc>
      </w:tr>
      <w:tr>
        <w:trPr>
          <w:trHeight w:val="713" w:hRule="atLeast"/>
          <w:jc w:val="center"/>
        </w:trPr>
        <w:tc>
          <w:tcPr>
            <w:tcW w:w="2830" w:type="dxa"/>
            <w:vAlign w:val="top"/>
          </w:tcPr>
          <w:p>
            <w:pPr>
              <w:pStyle w:val="13"/>
              <w:spacing w:line="420" w:lineRule="exact"/>
              <w:ind w:left="29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境外开户银行地址</w:t>
            </w:r>
          </w:p>
          <w:p>
            <w:pPr>
              <w:pStyle w:val="13"/>
              <w:spacing w:line="420" w:lineRule="exact"/>
              <w:ind w:left="419"/>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（中文或英文）</w:t>
            </w:r>
          </w:p>
        </w:tc>
        <w:tc>
          <w:tcPr>
            <w:tcW w:w="5566" w:type="dxa"/>
            <w:gridSpan w:val="3"/>
            <w:vAlign w:val="top"/>
          </w:tcPr>
          <w:p>
            <w:pPr>
              <w:pStyle w:val="13"/>
              <w:spacing w:line="420" w:lineRule="exact"/>
              <w:rPr>
                <w:rFonts w:ascii="Times New Roman" w:hAnsi="Times New Roman" w:eastAsia="仿宋_GB2312" w:cs="Times New Roman"/>
                <w:color w:val="auto"/>
                <w:sz w:val="24"/>
                <w:szCs w:val="24"/>
              </w:rPr>
            </w:pPr>
          </w:p>
        </w:tc>
      </w:tr>
      <w:tr>
        <w:trPr>
          <w:trHeight w:val="402" w:hRule="atLeast"/>
          <w:jc w:val="center"/>
        </w:trPr>
        <w:tc>
          <w:tcPr>
            <w:tcW w:w="8396" w:type="dxa"/>
            <w:gridSpan w:val="4"/>
            <w:vAlign w:val="top"/>
          </w:tcPr>
          <w:p>
            <w:pPr>
              <w:pStyle w:val="13"/>
              <w:spacing w:line="420" w:lineRule="exact"/>
              <w:ind w:left="2856" w:right="2844"/>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外汇局登记情况</w:t>
            </w:r>
          </w:p>
        </w:tc>
      </w:tr>
      <w:tr>
        <w:trPr>
          <w:trHeight w:val="3210" w:hRule="atLeast"/>
          <w:jc w:val="center"/>
        </w:trPr>
        <w:tc>
          <w:tcPr>
            <w:tcW w:w="8396" w:type="dxa"/>
            <w:gridSpan w:val="4"/>
            <w:vAlign w:val="top"/>
          </w:tcPr>
          <w:p>
            <w:pPr>
              <w:pStyle w:val="13"/>
              <w:tabs>
                <w:tab w:val="left" w:pos="7724"/>
              </w:tabs>
              <w:spacing w:line="420" w:lineRule="exact"/>
              <w:ind w:left="44"/>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□年度累计收入存放境外规模为</w:t>
            </w: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rPr>
              <w:t>。</w:t>
            </w:r>
          </w:p>
          <w:p>
            <w:pPr>
              <w:pStyle w:val="13"/>
              <w:tabs>
                <w:tab w:val="left" w:pos="8264"/>
              </w:tabs>
              <w:spacing w:line="420" w:lineRule="exact"/>
              <w:ind w:left="44"/>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□成员公司统一社会信用代码：</w:t>
            </w: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u w:val="single"/>
              </w:rPr>
              <w:tab/>
            </w:r>
          </w:p>
          <w:p>
            <w:pPr>
              <w:pStyle w:val="13"/>
              <w:tabs>
                <w:tab w:val="left" w:pos="7724"/>
              </w:tabs>
              <w:spacing w:line="420" w:lineRule="exact"/>
              <w:ind w:left="44"/>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rPr>
              <w:t>。</w:t>
            </w:r>
          </w:p>
          <w:p>
            <w:pPr>
              <w:pStyle w:val="13"/>
              <w:spacing w:line="420" w:lineRule="exact"/>
              <w:ind w:left="44"/>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□同意企业在上述银行开立收入存放境外账户。</w:t>
            </w:r>
          </w:p>
          <w:p>
            <w:pPr>
              <w:pStyle w:val="13"/>
              <w:tabs>
                <w:tab w:val="left" w:pos="5324"/>
              </w:tabs>
              <w:spacing w:line="420" w:lineRule="exact"/>
              <w:ind w:left="44"/>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□其他：</w:t>
            </w:r>
            <w:r>
              <w:rPr>
                <w:rFonts w:ascii="Times New Roman" w:hAnsi="Times New Roman" w:eastAsia="仿宋_GB2312" w:cs="Times New Roman"/>
                <w:color w:val="auto"/>
                <w:sz w:val="24"/>
                <w:szCs w:val="24"/>
                <w:u w:val="single"/>
              </w:rPr>
              <w:t xml:space="preserve"> </w:t>
            </w:r>
            <w:r>
              <w:rPr>
                <w:rFonts w:ascii="Times New Roman" w:hAnsi="Times New Roman" w:eastAsia="仿宋_GB2312" w:cs="Times New Roman"/>
                <w:color w:val="auto"/>
                <w:sz w:val="24"/>
                <w:szCs w:val="24"/>
                <w:u w:val="single"/>
              </w:rPr>
              <w:tab/>
            </w:r>
            <w:r>
              <w:rPr>
                <w:rFonts w:ascii="Times New Roman" w:hAnsi="Times New Roman" w:eastAsia="仿宋_GB2312" w:cs="Times New Roman"/>
                <w:color w:val="auto"/>
                <w:sz w:val="24"/>
                <w:szCs w:val="24"/>
              </w:rPr>
              <w:t>。</w:t>
            </w:r>
          </w:p>
          <w:p>
            <w:pPr>
              <w:pStyle w:val="13"/>
              <w:spacing w:line="420" w:lineRule="exact"/>
              <w:ind w:firstLine="3000" w:firstLineChars="1250"/>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外汇局（盖章）</w:t>
            </w:r>
          </w:p>
          <w:p>
            <w:pPr>
              <w:pStyle w:val="13"/>
              <w:tabs>
                <w:tab w:val="left" w:pos="5615"/>
              </w:tabs>
              <w:spacing w:line="420" w:lineRule="exact"/>
              <w:ind w:left="3854" w:leftChars="1752" w:right="1482"/>
              <w:rPr>
                <w:rFonts w:ascii="Times New Roman" w:hAnsi="Times New Roman" w:eastAsia="仿宋_GB2312" w:cs="Times New Roman"/>
                <w:color w:val="auto"/>
                <w:spacing w:val="-17"/>
                <w:sz w:val="24"/>
                <w:szCs w:val="24"/>
              </w:rPr>
            </w:pPr>
            <w:r>
              <w:rPr>
                <w:rFonts w:ascii="Times New Roman" w:hAnsi="Times New Roman" w:eastAsia="仿宋_GB2312" w:cs="Times New Roman"/>
                <w:color w:val="auto"/>
                <w:sz w:val="24"/>
                <w:szCs w:val="24"/>
              </w:rPr>
              <w:t>经办人：</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t>复核人</w:t>
            </w:r>
            <w:r>
              <w:rPr>
                <w:rFonts w:ascii="Times New Roman" w:hAnsi="Times New Roman" w:eastAsia="仿宋_GB2312" w:cs="Times New Roman"/>
                <w:color w:val="auto"/>
                <w:spacing w:val="-17"/>
                <w:sz w:val="24"/>
                <w:szCs w:val="24"/>
              </w:rPr>
              <w:t xml:space="preserve">： </w:t>
            </w:r>
          </w:p>
          <w:p>
            <w:pPr>
              <w:pStyle w:val="13"/>
              <w:tabs>
                <w:tab w:val="left" w:pos="5615"/>
              </w:tabs>
              <w:spacing w:line="420" w:lineRule="exact"/>
              <w:ind w:left="3854" w:leftChars="1752" w:right="1482"/>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联系电话：</w:t>
            </w:r>
          </w:p>
          <w:p>
            <w:pPr>
              <w:pStyle w:val="13"/>
              <w:tabs>
                <w:tab w:val="left" w:pos="5876"/>
                <w:tab w:val="left" w:pos="6596"/>
              </w:tabs>
              <w:spacing w:line="420" w:lineRule="exact"/>
              <w:ind w:left="5156"/>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年</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t>月</w:t>
            </w:r>
            <w:r>
              <w:rPr>
                <w:rFonts w:ascii="Times New Roman" w:hAnsi="Times New Roman" w:eastAsia="仿宋_GB2312" w:cs="Times New Roman"/>
                <w:color w:val="auto"/>
                <w:sz w:val="24"/>
                <w:szCs w:val="24"/>
              </w:rPr>
              <w:tab/>
            </w:r>
            <w:r>
              <w:rPr>
                <w:rFonts w:ascii="Times New Roman" w:hAnsi="Times New Roman" w:eastAsia="仿宋_GB2312" w:cs="Times New Roman"/>
                <w:color w:val="auto"/>
                <w:sz w:val="24"/>
                <w:szCs w:val="24"/>
              </w:rPr>
              <w:t>日</w:t>
            </w:r>
          </w:p>
        </w:tc>
      </w:tr>
    </w:tbl>
    <w:p>
      <w:pPr>
        <w:spacing w:line="420" w:lineRule="exact"/>
        <w:ind w:left="759" w:leftChars="345" w:firstLine="1080" w:firstLineChars="450"/>
        <w:rPr>
          <w:rFonts w:ascii="Times New Roman" w:hAnsi="Times New Roman" w:eastAsia="仿宋_GB2312" w:cs="Times New Roman"/>
          <w:color w:val="auto"/>
          <w:sz w:val="32"/>
          <w:szCs w:val="32"/>
        </w:rPr>
      </w:pPr>
      <w:r>
        <w:rPr>
          <w:rFonts w:ascii="Times New Roman" w:hAnsi="Times New Roman" w:eastAsia="仿宋_GB2312" w:cs="Times New Roman"/>
          <w:color w:val="auto"/>
          <w:sz w:val="24"/>
          <w:szCs w:val="24"/>
        </w:rPr>
        <w:t>（一式两联 第一联：企业留存联 第二联：外汇局留存联）</w:t>
      </w:r>
    </w:p>
    <w:p>
      <w:pPr>
        <w:spacing w:line="600" w:lineRule="exact"/>
        <w:ind w:left="759" w:leftChars="345" w:firstLine="640" w:firstLineChars="200"/>
        <w:rPr>
          <w:rFonts w:ascii="Times New Roman" w:hAnsi="Times New Roman" w:eastAsia="仿宋_GB2312" w:cs="Times New Roman"/>
          <w:color w:val="auto"/>
          <w:sz w:val="32"/>
          <w:szCs w:val="32"/>
        </w:rPr>
      </w:pPr>
    </w:p>
    <w:sectPr>
      <w:footerReference r:id="rId5" w:type="default"/>
      <w:pgSz w:w="11910" w:h="16840"/>
      <w:pgMar w:top="1440" w:right="1378" w:bottom="1440" w:left="1803" w:header="0" w:footer="1196" w:gutter="0"/>
      <w:paperSrc w:first="0" w:oth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ind w:left="0"/>
      <w:rPr>
        <w:rFonts w:eastAsia="宋体"/>
        <w:sz w:val="20"/>
      </w:rPr>
    </w:pPr>
  </w:p>
  <w:p>
    <w:pPr>
      <w:pStyle w:val="4"/>
      <w:spacing w:line="14" w:lineRule="auto"/>
      <w:ind w:left="0"/>
      <w:rPr>
        <w:sz w:val="20"/>
      </w:rPr>
    </w:pPr>
    <w:r>
      <w:rPr>
        <w:rFonts w:ascii="仿宋" w:hAnsi="仿宋" w:eastAsia="仿宋" w:cs="仿宋"/>
        <w:sz w:val="30"/>
        <w:szCs w:val="30"/>
        <w:lang w:val="zh-CN" w:eastAsia="zh-CN" w:bidi="zh-CN"/>
      </w:rPr>
      <w:pict>
        <v:shape id="_x0000_s1030" o:spid="_x0000_s1025" type="#_x0000_t202" style="position:absolute;left:0;margin-left:293.3pt;margin-top:771.1pt;height:11pt;width:24pt;mso-position-horizontal-relative:page;mso-position-vertical-relative:page;rotation:0f;z-index:-2516572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ind w:left="0"/>
      <w:rPr>
        <w:sz w:val="12"/>
      </w:rPr>
    </w:pPr>
    <w:r>
      <w:rPr>
        <w:rFonts w:ascii="仿宋" w:hAnsi="仿宋" w:eastAsia="仿宋" w:cs="仿宋"/>
        <w:sz w:val="30"/>
        <w:szCs w:val="30"/>
        <w:lang w:val="zh-CN" w:eastAsia="zh-CN" w:bidi="zh-CN"/>
      </w:rPr>
      <w:pict>
        <v:shape id="_x0000_s1025" o:spid="_x0000_s1026" type="#_x0000_t202" style="position:absolute;left:0;margin-left:291.05pt;margin-top:771.1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qFormat="1" w:uiPriority="99" w:name="Balloon Text"/>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8">
    <w:name w:val="Default Paragraph Font"/>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style>
  <w:style w:type="paragraph" w:styleId="4">
    <w:name w:val="Body Text"/>
    <w:basedOn w:val="1"/>
    <w:link w:val="17"/>
    <w:qFormat/>
    <w:uiPriority w:val="1"/>
    <w:pPr>
      <w:ind w:left="1360"/>
    </w:pPr>
    <w:rPr>
      <w:sz w:val="30"/>
      <w:szCs w:val="30"/>
    </w:rPr>
  </w:style>
  <w:style w:type="paragraph" w:styleId="5">
    <w:name w:val="Balloon Text"/>
    <w:basedOn w:val="1"/>
    <w:link w:val="16"/>
    <w:semiHidden/>
    <w:unhideWhenUsed/>
    <w:qFormat/>
    <w:uiPriority w:val="99"/>
    <w:rPr>
      <w:sz w:val="18"/>
      <w:szCs w:val="18"/>
    </w:rPr>
  </w:style>
  <w:style w:type="paragraph" w:styleId="6">
    <w:name w:val="footer"/>
    <w:basedOn w:val="1"/>
    <w:link w:val="15"/>
    <w:semiHidden/>
    <w:unhideWhenUsed/>
    <w:qFormat/>
    <w:uiPriority w:val="99"/>
    <w:pPr>
      <w:tabs>
        <w:tab w:val="center" w:pos="4153"/>
        <w:tab w:val="right" w:pos="8306"/>
      </w:tabs>
      <w:snapToGrid w:val="0"/>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000FF"/>
      <w:u w:val="single"/>
    </w:rPr>
  </w:style>
  <w:style w:type="character" w:styleId="10">
    <w:name w:val="annotation reference"/>
    <w:basedOn w:val="8"/>
    <w:semiHidden/>
    <w:unhideWhenUsed/>
    <w:uiPriority w:val="99"/>
    <w:rPr>
      <w:sz w:val="21"/>
      <w:szCs w:val="21"/>
    </w:rPr>
  </w:style>
  <w:style w:type="paragraph" w:customStyle="1" w:styleId="11">
    <w:name w:val="Heading 1"/>
    <w:basedOn w:val="1"/>
    <w:qFormat/>
    <w:uiPriority w:val="1"/>
    <w:pPr>
      <w:spacing w:line="382" w:lineRule="exact"/>
      <w:ind w:left="1662" w:hanging="303"/>
      <w:outlineLvl w:val="1"/>
    </w:pPr>
    <w:rPr>
      <w:b/>
      <w:bCs/>
      <w:sz w:val="30"/>
      <w:szCs w:val="30"/>
    </w:rPr>
  </w:style>
  <w:style w:type="paragraph" w:customStyle="1" w:styleId="12">
    <w:name w:val="List Paragraph"/>
    <w:basedOn w:val="1"/>
    <w:qFormat/>
    <w:uiPriority w:val="1"/>
    <w:pPr>
      <w:ind w:left="760" w:firstLine="600"/>
    </w:pPr>
  </w:style>
  <w:style w:type="paragraph" w:customStyle="1" w:styleId="13">
    <w:name w:val="Table Paragraph"/>
    <w:basedOn w:val="1"/>
    <w:qFormat/>
    <w:uiPriority w:val="1"/>
  </w:style>
  <w:style w:type="character" w:customStyle="1" w:styleId="14">
    <w:name w:val="页眉 Char Char"/>
    <w:basedOn w:val="8"/>
    <w:link w:val="7"/>
    <w:uiPriority w:val="99"/>
    <w:rPr>
      <w:rFonts w:ascii="仿宋" w:hAnsi="仿宋" w:eastAsia="仿宋" w:cs="仿宋"/>
      <w:sz w:val="18"/>
      <w:szCs w:val="18"/>
      <w:lang w:val="zh-CN" w:eastAsia="zh-CN" w:bidi="zh-CN"/>
    </w:rPr>
  </w:style>
  <w:style w:type="character" w:customStyle="1" w:styleId="15">
    <w:name w:val="页脚 Char Char"/>
    <w:basedOn w:val="8"/>
    <w:link w:val="6"/>
    <w:uiPriority w:val="99"/>
    <w:rPr>
      <w:rFonts w:ascii="仿宋" w:hAnsi="仿宋" w:eastAsia="仿宋" w:cs="仿宋"/>
      <w:sz w:val="18"/>
      <w:szCs w:val="18"/>
      <w:lang w:val="zh-CN" w:eastAsia="zh-CN" w:bidi="zh-CN"/>
    </w:rPr>
  </w:style>
  <w:style w:type="character" w:customStyle="1" w:styleId="16">
    <w:name w:val="批注框文本 Char Char"/>
    <w:basedOn w:val="8"/>
    <w:link w:val="5"/>
    <w:uiPriority w:val="99"/>
    <w:rPr>
      <w:rFonts w:ascii="仿宋" w:hAnsi="仿宋" w:eastAsia="仿宋" w:cs="仿宋"/>
      <w:sz w:val="18"/>
      <w:szCs w:val="18"/>
      <w:lang w:val="zh-CN" w:eastAsia="zh-CN" w:bidi="zh-CN"/>
    </w:rPr>
  </w:style>
  <w:style w:type="character" w:customStyle="1" w:styleId="17">
    <w:name w:val="正文文本 Char Char"/>
    <w:basedOn w:val="8"/>
    <w:link w:val="4"/>
    <w:uiPriority w:val="1"/>
    <w:rPr>
      <w:rFonts w:ascii="仿宋" w:hAnsi="仿宋" w:eastAsia="仿宋" w:cs="仿宋"/>
      <w:sz w:val="30"/>
      <w:szCs w:val="30"/>
      <w:lang w:val="zh-CN" w:eastAsia="zh-CN" w:bidi="zh-CN"/>
    </w:rPr>
  </w:style>
  <w:style w:type="character" w:customStyle="1" w:styleId="18">
    <w:name w:val="批注文字 Char Char"/>
    <w:basedOn w:val="8"/>
    <w:link w:val="3"/>
    <w:uiPriority w:val="99"/>
    <w:rPr>
      <w:rFonts w:ascii="仿宋" w:hAnsi="仿宋" w:eastAsia="仿宋" w:cs="仿宋"/>
      <w:sz w:val="22"/>
      <w:szCs w:val="22"/>
      <w:lang w:val="zh-CN" w:bidi="zh-CN"/>
    </w:rPr>
  </w:style>
  <w:style w:type="character" w:customStyle="1" w:styleId="19">
    <w:name w:val="批注主题 Char Char"/>
    <w:basedOn w:val="18"/>
    <w:link w:val="2"/>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426</Words>
  <Characters>2429</Characters>
  <Lines>20</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2020-02-27T06:39:00Z</dcterms:created>
  <dc:creator>裴建君2</dc:creator>
  <cp:lastModifiedBy>韩美琪/收支处/长春/PBC</cp:lastModifiedBy>
  <cp:lastPrinted>2020-03-31T03:19:00Z</cp:lastPrinted>
  <dcterms:modified xsi:type="dcterms:W3CDTF">2023-09-01T08:41:09Z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WPS Office</vt:lpwstr>
  </property>
  <property fmtid="{D5CDD505-2E9C-101B-9397-08002B2CF9AE}" pid="4" name="LastSaved">
    <vt:filetime>2020-02-27T00:00:00Z</vt:filetime>
  </property>
  <property fmtid="{D5CDD505-2E9C-101B-9397-08002B2CF9AE}" pid="5" name="KSOProductBuildVer">
    <vt:lpwstr>2052-9.1.0.4337</vt:lpwstr>
  </property>
</Properties>
</file>