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rPr>
        <w:t>吉林省分局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sectPr>
      </w:pP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四、移民财产转移核准</w:t>
      </w:r>
    </w:p>
    <w:p>
      <w:pPr>
        <w:tabs>
          <w:tab w:val="left" w:pos="8306"/>
        </w:tabs>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tabs>
          <w:tab w:val="left" w:pos="8306"/>
        </w:tabs>
        <w:adjustRightInd w:val="0"/>
        <w:snapToGrid w:val="0"/>
        <w:spacing w:line="360" w:lineRule="auto"/>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1.《中华人民共和国外汇管理条例》（国务院令第532号）</w:t>
      </w:r>
    </w:p>
    <w:p>
      <w:pPr>
        <w:tabs>
          <w:tab w:val="left" w:pos="8306"/>
        </w:tabs>
        <w:adjustRightInd w:val="0"/>
        <w:snapToGrid w:val="0"/>
        <w:spacing w:line="360" w:lineRule="auto"/>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2.《个人财产对外转移售付汇管理暂行办法》（中国人民银行公告2004年第16号）。</w:t>
      </w:r>
    </w:p>
    <w:p>
      <w:pPr>
        <w:tabs>
          <w:tab w:val="left" w:pos="8306"/>
        </w:tabs>
        <w:adjustRightInd w:val="0"/>
        <w:snapToGrid w:val="0"/>
        <w:spacing w:line="360" w:lineRule="auto"/>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3.《国家外汇管理局关于印发&lt;个人财产对外转移售付汇管理暂行办法操作指引（试行）&gt;的通知》（汇发[2004]118号）。</w:t>
      </w:r>
    </w:p>
    <w:p>
      <w:pPr>
        <w:tabs>
          <w:tab w:val="left" w:pos="8306"/>
        </w:tabs>
        <w:adjustRightInd w:val="0"/>
        <w:snapToGrid w:val="0"/>
        <w:spacing w:line="360" w:lineRule="auto"/>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4.《国家税务总局 国家外汇管理局关于个人财产对外转移提交税收证明或者完税凭证有关问题的通知》（国税发[2005]13号）。</w:t>
      </w:r>
    </w:p>
    <w:p>
      <w:pPr>
        <w:tabs>
          <w:tab w:val="left" w:pos="8306"/>
        </w:tabs>
        <w:adjustRightInd w:val="0"/>
        <w:snapToGrid w:val="0"/>
        <w:spacing w:line="360" w:lineRule="auto"/>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5.《国家外汇管理局 外交部 公安部 监察部 司法部关于实施&lt;个人财产对外转移售付汇管理暂行办法&gt;有关问题的通知》（汇发[2005]9号）。</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tabs>
          <w:tab w:val="left" w:pos="8306"/>
        </w:tabs>
        <w:adjustRightInd w:val="0"/>
        <w:snapToGrid w:val="0"/>
        <w:spacing w:line="360" w:lineRule="auto"/>
        <w:ind w:firstLine="600" w:firstLineChars="200"/>
        <w:rPr>
          <w:rFonts w:ascii="Times New Roman" w:hAnsi="Times New Roman" w:eastAsia="黑体" w:cs="Times New Roman"/>
          <w:sz w:val="30"/>
          <w:szCs w:val="30"/>
          <w:highlight w:val="lightGray"/>
        </w:rPr>
      </w:pPr>
      <w:r>
        <w:rPr>
          <w:rFonts w:ascii="Times New Roman" w:hAnsi="Times New Roman" w:eastAsia="仿宋_GB2312" w:cs="Times New Roman"/>
          <w:sz w:val="30"/>
          <w:szCs w:val="30"/>
        </w:rPr>
        <w:t>申请人移民前原户籍所在地外汇局</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申请人移民前原户籍所在地外汇局</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申请人将其在取得外国永久居留权、外国公民身份或港澳台地区居民身份之前在境内拥有的合法财产变现并汇出。</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司法、监察等部门依法限制对外转移的财产对外转移申请，不予受理。</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对涉及国家公职人员（根据《中华人民共和国监察法》，国家公职人员包括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以及其他依法履行公职的人员）及其近亲属，申请金额超过100万元人民币的申请，在审核过程中可向相应级别的监察部门（省级（含）以上）进行询证。对大额可疑或涉嫌非法转移财产的申请，在审核过程中要询证相应级别的公安、司法部门。</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52"/>
        <w:gridCol w:w="993"/>
        <w:gridCol w:w="457"/>
        <w:gridCol w:w="818"/>
        <w:gridCol w:w="3107"/>
        <w:gridCol w:w="1218"/>
      </w:tblGrid>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3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书面申请，并附《个人财产转移业务申请表》</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原件加盖签章</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由申请人或其代理人签名</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申请人身份证明文件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申请人为取得外国永久居留权的中国籍公民的，应提供：①有效的中华人民共和国护照或居住国颁发的外侨证等有效身份证明。②中国驻外使领馆出具（或认证）的申请人在国外定居证明。③移居前户籍所在地公安机关出具的境内户籍注销证明。</w:t>
            </w:r>
          </w:p>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申请人为取得外国公民身份的，应提供：①申请人居住国居民身份证或其他有效身份证明（如护照）。②中国驻外使领馆出具（或认证）的申请人在国外定居证明。③移居前户籍所在地公安机关出具的境内户籍注销证明。</w:t>
            </w:r>
          </w:p>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3）申请人为香港特别行政区、澳门特别行政区居民的，应提供：①香港特别行政区、澳门特别行政区（永久）居民身份证或其他有效身份证明。②港澳居民来往内地通行证或者特区护照。③移居前户籍所在地公安机关出具的境内户籍注销证明。</w:t>
            </w:r>
          </w:p>
          <w:p>
            <w:pPr>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（4）申请人为台湾地区居民的应提供：①台湾地区居民身份证或其他在台湾地区居住的有效身份证明。②台湾居民往来大陆通行证或其他出入境证件。③移居前户籍所在地公安机关出具的境内户籍注销证明。</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申请人收入来源证明以及财产权利证明文件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（1）对个人薪酬所得（包括工资和薪金所得、稿酬所得、劳务报酬等）应提交有关收入来源证明。</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2）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（3）对资本所得及变现：</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①利息、股息、红利所得应提交存款证明，股票、债券开户及交易记录。</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②财产租赁所得、财产转让所得、特许权使用等应提供：</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a.财产租赁、转让、特许权使用的合同或协议以及交易资金划转证明。</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b.房屋产权证。</w:t>
            </w:r>
          </w:p>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c.房地产买卖契约或拆迁补偿安置协议以及交易资金划转证明。</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（4）偶然所得（包括合法的福利彩票、体育彩票等）及其他财产或收入需提交真实交易记录证明。</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主管税务部门出具的税务证明</w:t>
            </w:r>
            <w:r>
              <w:rPr>
                <w:rFonts w:hint="eastAsia" w:ascii="Times New Roman" w:hAnsi="Times New Roman" w:eastAsia="仿宋_GB2312" w:cs="Times New Roman"/>
                <w:sz w:val="24"/>
                <w:szCs w:val="24"/>
              </w:rPr>
              <w:t>文</w:t>
            </w:r>
            <w:r>
              <w:rPr>
                <w:rFonts w:ascii="Times New Roman" w:hAnsi="Times New Roman" w:eastAsia="仿宋_GB2312" w:cs="Times New Roman"/>
                <w:sz w:val="24"/>
                <w:szCs w:val="24"/>
              </w:rPr>
              <w:t>件（按规定无需提交的除外）</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rPr>
                <w:rFonts w:ascii="Times New Roman" w:hAnsi="Times New Roman" w:eastAsia="仿宋_GB2312" w:cs="Times New Roman"/>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管税务部门出具的税务证明原件（按规定无需提交的除外），如个人确有需求，可在原件上加注业务办理情况，原件返还个人后，留存加注后的复印件。企业税务备案采用电子化方式的，可由银行在网上核验相关电子化税务凭证。</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委托代理协议和代理人身份证明</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委托他人办理的应提供委托代理协议和代理人身份证明。委托代理协议内容应包含但不限于委托人同意代理人受托办理移民财产转移及相关购付汇业务、委托人及代理人身份证件号码以及委托代理日期等关键信息，委托代理协议需委托人和代理人双方签字。</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bl>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申请人可通过移民前原户籍所在地外汇局业务窗口提交材料。</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numPr>
          <w:ilvl w:val="0"/>
          <w:numId w:val="1"/>
        </w:numPr>
        <w:adjustRightInd w:val="0"/>
        <w:snapToGrid w:val="0"/>
        <w:spacing w:line="360" w:lineRule="auto"/>
        <w:ind w:firstLine="585"/>
        <w:rPr>
          <w:rFonts w:ascii="Times New Roman" w:hAnsi="Times New Roman" w:eastAsia="黑体" w:cs="Times New Roman"/>
          <w:sz w:val="30"/>
        </w:rPr>
      </w:pPr>
      <w:r>
        <w:rPr>
          <w:rFonts w:ascii="Times New Roman" w:hAnsi="Times New Roman" w:eastAsia="黑体" w:cs="Times New Roman"/>
          <w:sz w:val="30"/>
        </w:rPr>
        <w:t>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numPr>
          <w:ilvl w:val="0"/>
          <w:numId w:val="2"/>
        </w:num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numPr>
          <w:ilvl w:val="0"/>
          <w:numId w:val="3"/>
        </w:numPr>
        <w:adjustRightInd w:val="0"/>
        <w:snapToGrid w:val="0"/>
        <w:spacing w:line="360" w:lineRule="auto"/>
        <w:ind w:firstLine="600"/>
        <w:rPr>
          <w:rFonts w:ascii="Times New Roman" w:hAnsi="Times New Roman" w:eastAsia="黑体" w:cs="Times New Roman"/>
          <w:sz w:val="30"/>
        </w:rPr>
      </w:pPr>
      <w:r>
        <w:rPr>
          <w:rFonts w:ascii="Times New Roman" w:hAnsi="Times New Roman" w:eastAsia="黑体" w:cs="Times New Roman"/>
          <w:sz w:val="30"/>
        </w:rPr>
        <w:t>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ind w:firstLine="602" w:firstLineChars="200"/>
        <w:rPr>
          <w:rFonts w:hint="eastAsia" w:ascii="仿宋_GB2312" w:hAnsi="仿宋" w:eastAsia="仿宋_GB2312" w:cs="仿宋"/>
          <w:b/>
          <w:color w:val="auto"/>
          <w:sz w:val="30"/>
          <w:szCs w:val="30"/>
        </w:rPr>
      </w:pPr>
      <w:r>
        <w:rPr>
          <w:rFonts w:ascii="Times New Roman" w:hAnsi="Times New Roman" w:eastAsia="黑体" w:cs="Times New Roman"/>
          <w:color w:val="auto"/>
          <w:sz w:val="30"/>
          <w:szCs w:val="30"/>
        </w:rPr>
        <w:t>（十五）咨询途径、监督和投诉</w:t>
      </w:r>
    </w:p>
    <w:p>
      <w:pPr>
        <w:ind w:firstLine="600"/>
        <w:rPr>
          <w:rFonts w:eastAsia="仿宋_GB2312"/>
          <w:color w:val="auto"/>
          <w:sz w:val="30"/>
          <w:szCs w:val="30"/>
        </w:rPr>
      </w:pPr>
      <w:r>
        <w:rPr>
          <w:rFonts w:eastAsia="仿宋_GB2312"/>
          <w:color w:val="auto"/>
          <w:sz w:val="30"/>
          <w:szCs w:val="30"/>
        </w:rPr>
        <w:t>向国家外汇管理局咨询、监督投诉等可通过国家外汇管理局官方互联网站公众交流栏目进行。网址为</w:t>
      </w:r>
      <w:r>
        <w:rPr>
          <w:rFonts w:ascii="Calibri" w:hAnsi="Calibri"/>
          <w:color w:val="auto"/>
          <w:szCs w:val="22"/>
        </w:rPr>
        <w:fldChar w:fldCharType="begin"/>
      </w:r>
      <w:r>
        <w:rPr>
          <w:color w:val="auto"/>
        </w:rPr>
        <w:instrText xml:space="preserve"> HYPERLINK "http://www.safe.gov.cn/" \h </w:instrText>
      </w:r>
      <w:r>
        <w:rPr>
          <w:rFonts w:ascii="Calibri" w:hAnsi="Calibri"/>
          <w:color w:val="auto"/>
          <w:szCs w:val="22"/>
        </w:rPr>
        <w:fldChar w:fldCharType="separate"/>
      </w:r>
      <w:r>
        <w:rPr>
          <w:rFonts w:eastAsia="仿宋_GB2312"/>
          <w:color w:val="auto"/>
          <w:spacing w:val="-4"/>
          <w:sz w:val="30"/>
          <w:szCs w:val="30"/>
        </w:rPr>
        <w:t>www.safe.gov.cn</w:t>
      </w:r>
      <w:r>
        <w:rPr>
          <w:rFonts w:eastAsia="仿宋_GB2312"/>
          <w:color w:val="auto"/>
          <w:spacing w:val="-4"/>
          <w:sz w:val="30"/>
          <w:szCs w:val="30"/>
        </w:rPr>
        <w:fldChar w:fldCharType="end"/>
      </w:r>
      <w:r>
        <w:rPr>
          <w:rFonts w:eastAsia="仿宋_GB2312"/>
          <w:color w:val="auto"/>
          <w:sz w:val="30"/>
          <w:szCs w:val="30"/>
        </w:rPr>
        <w:t>。</w:t>
      </w:r>
    </w:p>
    <w:p>
      <w:pPr>
        <w:ind w:firstLine="600"/>
        <w:rPr>
          <w:rFonts w:hint="eastAsia" w:eastAsia="仿宋_GB2312"/>
          <w:color w:val="auto"/>
          <w:sz w:val="30"/>
          <w:szCs w:val="30"/>
        </w:rPr>
      </w:pPr>
      <w:r>
        <w:rPr>
          <w:rFonts w:eastAsia="仿宋_GB2312"/>
          <w:color w:val="auto"/>
          <w:sz w:val="30"/>
          <w:szCs w:val="30"/>
        </w:rPr>
        <w:t>向外汇局</w:t>
      </w:r>
      <w:r>
        <w:rPr>
          <w:rFonts w:hint="eastAsia" w:eastAsia="仿宋_GB2312"/>
          <w:color w:val="auto"/>
          <w:sz w:val="30"/>
          <w:szCs w:val="30"/>
        </w:rPr>
        <w:t>吉林省分局及</w:t>
      </w:r>
      <w:r>
        <w:rPr>
          <w:rFonts w:hint="eastAsia" w:eastAsia="仿宋_GB2312"/>
          <w:color w:val="auto"/>
          <w:sz w:val="30"/>
          <w:szCs w:val="30"/>
          <w:lang w:eastAsia="zh-CN"/>
        </w:rPr>
        <w:t>分支机构</w:t>
      </w:r>
      <w:r>
        <w:rPr>
          <w:rFonts w:eastAsia="仿宋_GB2312"/>
          <w:color w:val="auto"/>
          <w:sz w:val="30"/>
          <w:szCs w:val="30"/>
        </w:rPr>
        <w:t>进行咨询、监督和投诉等可通过</w:t>
      </w:r>
      <w:r>
        <w:rPr>
          <w:rFonts w:hint="eastAsia" w:eastAsia="仿宋_GB2312"/>
          <w:color w:val="auto"/>
          <w:sz w:val="30"/>
          <w:szCs w:val="30"/>
        </w:rPr>
        <w:t>国家外汇管理局吉林省分局官方互联网站“咨询反馈”栏目进行。网址为</w:t>
      </w:r>
      <w:r>
        <w:rPr>
          <w:rFonts w:eastAsia="仿宋_GB2312"/>
          <w:color w:val="auto"/>
          <w:sz w:val="30"/>
          <w:szCs w:val="30"/>
        </w:rPr>
        <w:fldChar w:fldCharType="begin"/>
      </w:r>
      <w:r>
        <w:rPr>
          <w:rFonts w:eastAsia="仿宋_GB2312"/>
          <w:color w:val="auto"/>
          <w:sz w:val="30"/>
          <w:szCs w:val="30"/>
        </w:rPr>
        <w:instrText xml:space="preserve"> HYPERLINK "http://www.safe.gov.cn/jilin" </w:instrText>
      </w:r>
      <w:r>
        <w:rPr>
          <w:rFonts w:eastAsia="仿宋_GB2312"/>
          <w:color w:val="auto"/>
          <w:sz w:val="30"/>
          <w:szCs w:val="30"/>
        </w:rPr>
        <w:fldChar w:fldCharType="separate"/>
      </w:r>
      <w:r>
        <w:rPr>
          <w:rStyle w:val="15"/>
          <w:rFonts w:eastAsia="仿宋_GB2312"/>
          <w:color w:val="auto"/>
          <w:sz w:val="30"/>
          <w:szCs w:val="30"/>
          <w:u w:val="none"/>
        </w:rPr>
        <w:t>www.safe.gov.cn/jilin</w:t>
      </w:r>
      <w:r>
        <w:rPr>
          <w:rFonts w:eastAsia="仿宋_GB2312"/>
          <w:color w:val="auto"/>
          <w:sz w:val="30"/>
          <w:szCs w:val="30"/>
        </w:rPr>
        <w:fldChar w:fldCharType="end"/>
      </w:r>
      <w:r>
        <w:rPr>
          <w:rFonts w:hint="eastAsia" w:eastAsia="仿宋_GB2312"/>
          <w:color w:val="auto"/>
          <w:sz w:val="30"/>
          <w:szCs w:val="30"/>
        </w:rPr>
        <w:t>，也可通过国家外汇管理局吉林省分局官方互联网站“咨询反馈——联系我们”栏目中</w:t>
      </w:r>
      <w:r>
        <w:rPr>
          <w:rFonts w:eastAsia="仿宋_GB2312"/>
          <w:color w:val="auto"/>
          <w:sz w:val="30"/>
          <w:szCs w:val="30"/>
        </w:rPr>
        <w:t>公布的电话进行。</w:t>
      </w:r>
    </w:p>
    <w:p>
      <w:pPr>
        <w:ind w:firstLine="600"/>
        <w:rPr>
          <w:rFonts w:hint="eastAsia" w:eastAsia="仿宋_GB2312"/>
          <w:b/>
          <w:color w:val="auto"/>
          <w:sz w:val="30"/>
          <w:szCs w:val="30"/>
        </w:rPr>
      </w:pPr>
      <w:r>
        <w:rPr>
          <w:rFonts w:ascii="Times New Roman" w:hAnsi="Times New Roman" w:eastAsia="黑体" w:cs="Times New Roman"/>
          <w:color w:val="auto"/>
          <w:sz w:val="30"/>
          <w:szCs w:val="30"/>
        </w:rPr>
        <w:t>（十</w:t>
      </w:r>
      <w:r>
        <w:rPr>
          <w:rFonts w:hint="eastAsia" w:ascii="Times New Roman" w:hAnsi="Times New Roman" w:eastAsia="黑体" w:cs="Times New Roman"/>
          <w:color w:val="auto"/>
          <w:sz w:val="30"/>
          <w:szCs w:val="30"/>
          <w:lang w:eastAsia="zh-CN"/>
        </w:rPr>
        <w:t>六</w:t>
      </w:r>
      <w:r>
        <w:rPr>
          <w:rFonts w:ascii="Times New Roman" w:hAnsi="Times New Roman" w:eastAsia="黑体" w:cs="Times New Roman"/>
          <w:color w:val="auto"/>
          <w:sz w:val="30"/>
          <w:szCs w:val="30"/>
        </w:rPr>
        <w:t>）办公地址和时间</w:t>
      </w:r>
    </w:p>
    <w:p>
      <w:pPr>
        <w:ind w:firstLine="600" w:firstLineChars="200"/>
        <w:rPr>
          <w:rFonts w:hint="eastAsia" w:eastAsia="仿宋_GB2312"/>
          <w:color w:val="auto"/>
          <w:sz w:val="30"/>
          <w:szCs w:val="30"/>
        </w:rPr>
      </w:pPr>
      <w:r>
        <w:rPr>
          <w:rFonts w:eastAsia="仿宋_GB2312"/>
          <w:color w:val="auto"/>
          <w:sz w:val="30"/>
          <w:szCs w:val="30"/>
        </w:rPr>
        <w:t>该项行政许可具体由国家外汇管理局</w:t>
      </w:r>
      <w:r>
        <w:rPr>
          <w:rFonts w:hint="eastAsia" w:eastAsia="仿宋_GB2312"/>
          <w:color w:val="auto"/>
          <w:sz w:val="30"/>
          <w:szCs w:val="30"/>
          <w:lang w:eastAsia="zh-CN"/>
        </w:rPr>
        <w:t>吉林省分局及分支机构</w:t>
      </w:r>
      <w:r>
        <w:rPr>
          <w:rFonts w:eastAsia="仿宋_GB2312"/>
          <w:color w:val="auto"/>
          <w:sz w:val="30"/>
          <w:szCs w:val="30"/>
        </w:rPr>
        <w:t>办理，</w:t>
      </w:r>
      <w:r>
        <w:rPr>
          <w:rFonts w:hint="eastAsia" w:eastAsia="仿宋_GB2312"/>
          <w:color w:val="auto"/>
          <w:sz w:val="30"/>
          <w:szCs w:val="30"/>
        </w:rPr>
        <w:t>国家外汇管理局吉林省</w:t>
      </w:r>
      <w:r>
        <w:rPr>
          <w:rFonts w:hint="eastAsia" w:eastAsia="仿宋_GB2312"/>
          <w:color w:val="auto"/>
          <w:sz w:val="30"/>
          <w:szCs w:val="30"/>
          <w:lang w:eastAsia="zh-CN"/>
        </w:rPr>
        <w:t>分局及</w:t>
      </w:r>
      <w:bookmarkStart w:id="0" w:name="_GoBack"/>
      <w:bookmarkEnd w:id="0"/>
      <w:r>
        <w:rPr>
          <w:rFonts w:hint="eastAsia" w:eastAsia="仿宋_GB2312"/>
          <w:color w:val="auto"/>
          <w:sz w:val="30"/>
          <w:szCs w:val="30"/>
          <w:lang w:eastAsia="zh-CN"/>
        </w:rPr>
        <w:t>分支机构</w:t>
      </w:r>
      <w:r>
        <w:rPr>
          <w:rFonts w:hint="eastAsia" w:eastAsia="仿宋_GB2312"/>
          <w:color w:val="auto"/>
          <w:sz w:val="30"/>
          <w:szCs w:val="30"/>
        </w:rPr>
        <w:t>的</w:t>
      </w:r>
      <w:r>
        <w:rPr>
          <w:rFonts w:eastAsia="仿宋_GB2312"/>
          <w:color w:val="auto"/>
          <w:sz w:val="30"/>
          <w:szCs w:val="30"/>
        </w:rPr>
        <w:t>办公地址和办公时间见</w:t>
      </w:r>
      <w:r>
        <w:rPr>
          <w:rFonts w:hint="eastAsia" w:eastAsia="仿宋_GB2312"/>
          <w:color w:val="auto"/>
          <w:sz w:val="30"/>
          <w:szCs w:val="30"/>
        </w:rPr>
        <w:t>国家外汇管理局吉林省分局官方互联网站“咨询反馈——联系我们”栏目。</w:t>
      </w: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仿宋_GB2312" w:cs="Times New Roman"/>
          <w:kern w:val="2"/>
          <w:sz w:val="30"/>
          <w:szCs w:val="30"/>
          <w:lang w:val="en-US" w:eastAsia="zh-CN" w:bidi="ar-SA"/>
        </w:rPr>
        <w:pict>
          <v:group id="组合 1026" o:spid="_x0000_s1027" style="position:absolute;left:0;margin-left:-0.65pt;margin-top:17.6pt;height:586.05pt;width:446.05pt;rotation:0f;z-index:251658240;" coordorigin="0,0" coordsize="8921,11721">
            <o:lock v:ext="edit" position="f" selection="f" grouping="f" rotation="f" cropping="f" text="f" aspectratio="f"/>
            <v:rect id="Rectangle 1252"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253"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254"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255" o:spid="_x0000_s1031" type="#_x0000_t32" style="position:absolute;left:4382;top:7693;height:626;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6" o:spid="_x0000_s1032" type="#_x0000_t32" style="position:absolute;left:6331;top:9568;height:1095;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7" o:spid="_x0000_s1033" type="#_x0000_t32" style="position:absolute;left:2358;top:9568;height:103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8" o:spid="_x0000_s1034" type="#_x0000_t32" style="position:absolute;left:4383;top:8853;height:715;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59" o:spid="_x0000_s1035" type="#_x0000_t32" style="position:absolute;left:2359;top:9568;height:0;width:3972;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35" o:spid="_x0000_s1036" style="position:absolute;left:0;top:0;height:7693;width:8921;rotation:0f;" coordorigin="0,0" coordsize="8921,7693">
              <o:lock v:ext="edit" position="f" selection="f" grouping="f" rotation="f" cropping="f" text="f" aspectratio="f"/>
              <v:shape id="AutoShape 1261" o:spid="_x0000_s1037" type="#_x0000_t32" style="position:absolute;left:5893;top:6566;height:60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37" o:spid="_x0000_s1038" style="position:absolute;left:0;top:0;height:7693;width:8921;rotation:0f;" coordorigin="0,0" coordsize="8921,7693">
                <o:lock v:ext="edit" position="f" selection="f" grouping="f" rotation="f" cropping="f" text="f" aspectratio="f"/>
                <v:shape id="AutoShape 1263" o:spid="_x0000_s1039" type="#_x0000_t34" style="position:absolute;left:6366;top:3154;height:1285;width:3823;rotation:17694720f;" o:ole="f" fillcolor="#FFFFFF" filled="t" o:preferrelative="t" stroked="t" coordorigin="0,0" coordsize="21600,21600" adj="33">
                  <v:stroke color="#000000" color2="#FFFFFF" miterlimit="2"/>
                  <v:imagedata gain="65536f" blacklevel="0f" gamma="0"/>
                  <o:lock v:ext="edit" position="f" selection="f" grouping="f" rotation="f" cropping="f" text="f" aspectratio="f"/>
                </v:shape>
                <v:shape id="Text Box 1264"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265" o:spid="_x0000_s1041" type="#_x0000_t32" style="position:absolute;left:5893;top:4472;height:37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266"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267"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268"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269"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270"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0;top:0;height:7424;width:4594;rotation:0f;" coordorigin="0,0" coordsize="4594,7424">
                  <o:lock v:ext="edit" position="f" selection="f" grouping="f" rotation="f" cropping="f" text="f" aspectratio="f"/>
                  <v:shape id="AutoShape 1272" o:spid="_x0000_s1048" type="#_x0000_t32" style="position:absolute;left:3663;top:3910;height:0;width:93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73" o:spid="_x0000_s1049" type="#_x0000_t32" style="position:absolute;left:1355;top:3986;height:3437;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49" o:spid="_x0000_s1050" style="position:absolute;left:0;top:0;height:3986;width:3629;rotation:0f;" coordorigin="0,0" coordsize="3629,3986">
                    <o:lock v:ext="edit" position="f" selection="f" grouping="f" rotation="f" cropping="f" text="f" aspectratio="f"/>
                    <v:shape id="AutoShape 1275" o:spid="_x0000_s1051" type="#_x0000_t32" style="position:absolute;left:1396;top:1172;height:764;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76" o:spid="_x0000_s1052" type="#_x0000_t32" style="position:absolute;left:2400;top:2967;height:0;width:1229;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77" o:spid="_x0000_s1053"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278"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279" o:spid="_x0000_s1055" type="#_x0000_t32" style="position:absolute;left:1355;top:7423;height:1;width:121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80" o:spid="_x0000_s1056" type="#_x0000_t32" style="position:absolute;left:3663;top:1999;height:192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81" o:spid="_x0000_s1057" type="#_x0000_t32" style="position:absolute;left:3663;top:1989;height:1;width:90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282"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283"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284" o:spid="_x0000_s1060" type="#_x0000_t32" style="position:absolute;left:7384;top:1886;flip:x;height:0;width:153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个人财产转移业务申请表（示范文本）</w:t>
      </w:r>
    </w:p>
    <w:p>
      <w:pPr>
        <w:spacing w:line="360" w:lineRule="auto"/>
        <w:jc w:val="center"/>
        <w:rPr>
          <w:rFonts w:ascii="Times New Roman" w:hAnsi="Times New Roman" w:cs="Times New Roman"/>
          <w:sz w:val="24"/>
        </w:rPr>
      </w:pPr>
      <w:r>
        <w:rPr>
          <w:rFonts w:ascii="Times New Roman" w:cs="Times New Roman"/>
          <w:sz w:val="24"/>
        </w:rPr>
        <w:t>业务编号：</w:t>
      </w:r>
    </w:p>
    <w:tbl>
      <w:tblPr>
        <w:tblW w:w="85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756"/>
        <w:gridCol w:w="315"/>
        <w:gridCol w:w="1575"/>
        <w:gridCol w:w="735"/>
        <w:gridCol w:w="1728"/>
        <w:gridCol w:w="2157"/>
      </w:tblGrid>
      <w:tr>
        <w:trPr>
          <w:cantSplit/>
          <w:trHeight w:val="716" w:hRule="atLeast"/>
        </w:trPr>
        <w:tc>
          <w:tcPr>
            <w:tcW w:w="2313" w:type="dxa"/>
            <w:gridSpan w:val="3"/>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w:t>
            </w:r>
            <w:r>
              <w:rPr>
                <w:rFonts w:ascii="Times New Roman" w:cs="Times New Roman"/>
                <w:spacing w:val="-9"/>
                <w:szCs w:val="21"/>
              </w:rPr>
              <w:t>中文姓名：</w:t>
            </w:r>
          </w:p>
          <w:p>
            <w:pPr>
              <w:snapToGrid w:val="0"/>
              <w:jc w:val="left"/>
              <w:rPr>
                <w:rFonts w:ascii="Times New Roman" w:hAnsi="Times New Roman" w:cs="Times New Roman"/>
                <w:spacing w:val="-9"/>
                <w:szCs w:val="21"/>
              </w:rPr>
            </w:pPr>
          </w:p>
        </w:tc>
        <w:tc>
          <w:tcPr>
            <w:tcW w:w="2310" w:type="dxa"/>
            <w:gridSpan w:val="2"/>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2.</w:t>
            </w:r>
            <w:r>
              <w:rPr>
                <w:rFonts w:ascii="Times New Roman" w:cs="Times New Roman"/>
                <w:spacing w:val="-9"/>
                <w:szCs w:val="21"/>
              </w:rPr>
              <w:t>曾用名：</w:t>
            </w:r>
          </w:p>
        </w:tc>
        <w:tc>
          <w:tcPr>
            <w:tcW w:w="1728" w:type="dxa"/>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3.</w:t>
            </w:r>
            <w:r>
              <w:rPr>
                <w:rFonts w:ascii="Times New Roman" w:cs="Times New Roman"/>
                <w:spacing w:val="-9"/>
                <w:szCs w:val="21"/>
              </w:rPr>
              <w:t>性别：</w:t>
            </w:r>
          </w:p>
          <w:p>
            <w:pPr>
              <w:snapToGrid w:val="0"/>
              <w:jc w:val="left"/>
              <w:rPr>
                <w:rFonts w:ascii="Times New Roman" w:hAnsi="Times New Roman" w:cs="Times New Roman"/>
                <w:spacing w:val="-9"/>
                <w:szCs w:val="21"/>
              </w:rPr>
            </w:pPr>
            <w:r>
              <w:rPr>
                <w:rFonts w:ascii="Times New Roman" w:cs="Times New Roman"/>
                <w:spacing w:val="-9"/>
                <w:szCs w:val="21"/>
              </w:rPr>
              <w:t>男</w:t>
            </w:r>
            <w:r>
              <w:rPr>
                <w:rFonts w:ascii="Times New Roman" w:hAnsi="Times New Roman" w:cs="Times New Roman"/>
                <w:spacing w:val="-9"/>
                <w:szCs w:val="21"/>
              </w:rPr>
              <w:t xml:space="preserve">□  </w:t>
            </w:r>
            <w:r>
              <w:rPr>
                <w:rFonts w:ascii="Times New Roman" w:cs="Times New Roman"/>
                <w:spacing w:val="-9"/>
                <w:szCs w:val="21"/>
              </w:rPr>
              <w:t>女</w:t>
            </w:r>
            <w:r>
              <w:rPr>
                <w:rFonts w:ascii="Times New Roman" w:hAnsi="Times New Roman" w:cs="Times New Roman"/>
                <w:spacing w:val="-9"/>
                <w:szCs w:val="21"/>
              </w:rPr>
              <w:t>□</w:t>
            </w:r>
          </w:p>
        </w:tc>
        <w:tc>
          <w:tcPr>
            <w:tcW w:w="2157" w:type="dxa"/>
            <w:vMerge w:val="restart"/>
            <w:vAlign w:val="top"/>
          </w:tcPr>
          <w:p>
            <w:pPr>
              <w:snapToGrid w:val="0"/>
              <w:jc w:val="center"/>
              <w:rPr>
                <w:rFonts w:ascii="Times New Roman" w:hAnsi="Times New Roman" w:cs="Times New Roman"/>
                <w:spacing w:val="-9"/>
                <w:szCs w:val="21"/>
              </w:rPr>
            </w:pPr>
          </w:p>
          <w:p>
            <w:pPr>
              <w:snapToGrid w:val="0"/>
              <w:jc w:val="center"/>
              <w:rPr>
                <w:rFonts w:ascii="Times New Roman" w:hAnsi="Times New Roman" w:cs="Times New Roman"/>
                <w:spacing w:val="-9"/>
                <w:szCs w:val="21"/>
              </w:rPr>
            </w:pPr>
            <w:r>
              <w:rPr>
                <w:rFonts w:ascii="Times New Roman" w:cs="Times New Roman"/>
                <w:spacing w:val="-9"/>
                <w:szCs w:val="21"/>
              </w:rPr>
              <w:t>照片</w:t>
            </w:r>
          </w:p>
          <w:p>
            <w:pPr>
              <w:snapToGrid w:val="0"/>
              <w:jc w:val="center"/>
              <w:rPr>
                <w:rFonts w:ascii="Times New Roman" w:hAnsi="Times New Roman" w:cs="Times New Roman"/>
                <w:spacing w:val="-9"/>
                <w:szCs w:val="21"/>
              </w:rPr>
            </w:pPr>
            <w:r>
              <w:rPr>
                <w:rFonts w:ascii="Times New Roman" w:hAnsi="Times New Roman" w:cs="Times New Roman"/>
                <w:spacing w:val="-9"/>
                <w:szCs w:val="21"/>
              </w:rPr>
              <w:t>2”×2”</w:t>
            </w:r>
          </w:p>
        </w:tc>
      </w:tr>
      <w:tr>
        <w:trPr>
          <w:cantSplit/>
        </w:trPr>
        <w:tc>
          <w:tcPr>
            <w:tcW w:w="6351" w:type="dxa"/>
            <w:gridSpan w:val="6"/>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4.</w:t>
            </w:r>
            <w:r>
              <w:rPr>
                <w:rFonts w:ascii="Times New Roman" w:cs="Times New Roman"/>
                <w:spacing w:val="-9"/>
                <w:szCs w:val="21"/>
              </w:rPr>
              <w:t>外文姓名：</w:t>
            </w:r>
          </w:p>
        </w:tc>
        <w:tc>
          <w:tcPr>
            <w:tcW w:w="2157" w:type="dxa"/>
            <w:vMerge w:val="continue"/>
            <w:vAlign w:val="top"/>
          </w:tcPr>
          <w:p>
            <w:pPr>
              <w:snapToGrid w:val="0"/>
              <w:jc w:val="center"/>
              <w:rPr>
                <w:rFonts w:ascii="Times New Roman" w:hAnsi="Times New Roman" w:cs="Times New Roman"/>
                <w:spacing w:val="-9"/>
                <w:szCs w:val="21"/>
              </w:rPr>
            </w:pPr>
          </w:p>
        </w:tc>
      </w:tr>
      <w:tr>
        <w:trPr>
          <w:cantSplit/>
        </w:trPr>
        <w:tc>
          <w:tcPr>
            <w:tcW w:w="3888" w:type="dxa"/>
            <w:gridSpan w:val="4"/>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5.</w:t>
            </w:r>
            <w:r>
              <w:rPr>
                <w:rFonts w:ascii="Times New Roman" w:cs="Times New Roman"/>
                <w:spacing w:val="-9"/>
                <w:szCs w:val="21"/>
              </w:rPr>
              <w:t>出生日期：</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tc>
        <w:tc>
          <w:tcPr>
            <w:tcW w:w="2463" w:type="dxa"/>
            <w:gridSpan w:val="2"/>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6.</w:t>
            </w:r>
            <w:r>
              <w:rPr>
                <w:rFonts w:ascii="Times New Roman" w:cs="Times New Roman"/>
                <w:spacing w:val="-9"/>
                <w:szCs w:val="21"/>
              </w:rPr>
              <w:t>出生地：</w:t>
            </w:r>
          </w:p>
        </w:tc>
        <w:tc>
          <w:tcPr>
            <w:tcW w:w="2157" w:type="dxa"/>
            <w:vMerge w:val="continue"/>
            <w:vAlign w:val="top"/>
          </w:tcPr>
          <w:p>
            <w:pPr>
              <w:snapToGrid w:val="0"/>
              <w:jc w:val="center"/>
              <w:rPr>
                <w:rFonts w:ascii="Times New Roman" w:hAnsi="Times New Roman" w:cs="Times New Roman"/>
                <w:spacing w:val="-9"/>
                <w:szCs w:val="21"/>
              </w:rPr>
            </w:pPr>
          </w:p>
        </w:tc>
      </w:tr>
      <w:tr>
        <w:trPr>
          <w:trHeight w:val="303" w:hRule="atLeast"/>
        </w:trPr>
        <w:tc>
          <w:tcPr>
            <w:tcW w:w="1998" w:type="dxa"/>
            <w:gridSpan w:val="2"/>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7.</w:t>
            </w:r>
            <w:r>
              <w:rPr>
                <w:rFonts w:ascii="Times New Roman" w:cs="Times New Roman"/>
                <w:spacing w:val="-9"/>
                <w:szCs w:val="21"/>
              </w:rPr>
              <w:t>国籍：</w:t>
            </w:r>
          </w:p>
        </w:tc>
        <w:tc>
          <w:tcPr>
            <w:tcW w:w="2625" w:type="dxa"/>
            <w:gridSpan w:val="3"/>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8.</w:t>
            </w:r>
            <w:r>
              <w:rPr>
                <w:rFonts w:ascii="Times New Roman" w:cs="Times New Roman"/>
                <w:spacing w:val="-9"/>
                <w:szCs w:val="21"/>
              </w:rPr>
              <w:t>曾有何国籍：</w:t>
            </w:r>
          </w:p>
        </w:tc>
        <w:tc>
          <w:tcPr>
            <w:tcW w:w="3885" w:type="dxa"/>
            <w:gridSpan w:val="2"/>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9.</w:t>
            </w:r>
            <w:r>
              <w:rPr>
                <w:rFonts w:ascii="Times New Roman" w:cs="Times New Roman"/>
                <w:spacing w:val="-9"/>
                <w:szCs w:val="21"/>
              </w:rPr>
              <w:t>取得哪国永久居留权：</w:t>
            </w:r>
          </w:p>
        </w:tc>
      </w:tr>
      <w:tr>
        <w:trPr>
          <w:trHeight w:val="303" w:hRule="atLeast"/>
        </w:trPr>
        <w:tc>
          <w:tcPr>
            <w:tcW w:w="8508" w:type="dxa"/>
            <w:gridSpan w:val="7"/>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10.</w:t>
            </w:r>
            <w:r>
              <w:rPr>
                <w:rFonts w:ascii="Times New Roman" w:cs="Times New Roman"/>
                <w:spacing w:val="-9"/>
                <w:szCs w:val="21"/>
              </w:rPr>
              <w:t>持何种证件：</w:t>
            </w:r>
            <w:r>
              <w:rPr>
                <w:rFonts w:ascii="Times New Roman" w:hAnsi="Times New Roman" w:cs="Times New Roman"/>
                <w:spacing w:val="-9"/>
                <w:szCs w:val="21"/>
              </w:rPr>
              <w:t xml:space="preserve">                       </w:t>
            </w:r>
            <w:r>
              <w:rPr>
                <w:rFonts w:ascii="Times New Roman" w:cs="Times New Roman"/>
                <w:spacing w:val="-9"/>
                <w:szCs w:val="21"/>
              </w:rPr>
              <w:t>证件号码：</w:t>
            </w:r>
          </w:p>
          <w:p>
            <w:pPr>
              <w:snapToGrid w:val="0"/>
              <w:jc w:val="left"/>
              <w:rPr>
                <w:rFonts w:ascii="Times New Roman" w:hAnsi="Times New Roman" w:cs="Times New Roman"/>
                <w:spacing w:val="-9"/>
                <w:szCs w:val="21"/>
              </w:rPr>
            </w:pPr>
            <w:r>
              <w:rPr>
                <w:rFonts w:ascii="Times New Roman" w:cs="Times New Roman"/>
                <w:spacing w:val="-9"/>
                <w:szCs w:val="21"/>
              </w:rPr>
              <w:t>发证机关：</w:t>
            </w:r>
            <w:r>
              <w:rPr>
                <w:rFonts w:ascii="Times New Roman" w:hAnsi="Times New Roman" w:cs="Times New Roman"/>
                <w:spacing w:val="-9"/>
                <w:szCs w:val="21"/>
              </w:rPr>
              <w:t xml:space="preserve">                            </w:t>
            </w:r>
            <w:r>
              <w:rPr>
                <w:rFonts w:ascii="Times New Roman" w:cs="Times New Roman"/>
                <w:spacing w:val="-9"/>
                <w:szCs w:val="21"/>
              </w:rPr>
              <w:t>证件有效期至：</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tc>
      </w:tr>
      <w:tr>
        <w:trPr>
          <w:trHeight w:val="405"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11.</w:t>
            </w:r>
            <w:r>
              <w:rPr>
                <w:rFonts w:ascii="Times New Roman" w:cs="Times New Roman"/>
                <w:spacing w:val="-9"/>
                <w:szCs w:val="21"/>
              </w:rPr>
              <w:t>申请种类：移民财产转移</w:t>
            </w:r>
            <w:r>
              <w:rPr>
                <w:rFonts w:ascii="Times New Roman" w:hAnsi="Times New Roman" w:cs="Times New Roman"/>
                <w:spacing w:val="-9"/>
                <w:szCs w:val="21"/>
              </w:rPr>
              <w:t xml:space="preserve">□    </w:t>
            </w:r>
            <w:r>
              <w:rPr>
                <w:rFonts w:ascii="Times New Roman" w:cs="Times New Roman"/>
                <w:spacing w:val="-9"/>
                <w:szCs w:val="21"/>
              </w:rPr>
              <w:t>继承财产转移</w:t>
            </w:r>
            <w:r>
              <w:rPr>
                <w:rFonts w:ascii="Times New Roman" w:hAnsi="Times New Roman" w:cs="Times New Roman"/>
                <w:spacing w:val="-9"/>
                <w:szCs w:val="21"/>
              </w:rPr>
              <w:t>□</w:t>
            </w:r>
          </w:p>
        </w:tc>
      </w:tr>
      <w:tr>
        <w:trPr>
          <w:trHeight w:val="465"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12.</w:t>
            </w:r>
            <w:r>
              <w:rPr>
                <w:rFonts w:ascii="Times New Roman" w:cs="Times New Roman"/>
                <w:spacing w:val="-9"/>
                <w:szCs w:val="21"/>
              </w:rPr>
              <w:t>申请金额（折合人民币元）：</w:t>
            </w:r>
          </w:p>
        </w:tc>
      </w:tr>
      <w:tr>
        <w:trPr>
          <w:trHeight w:val="1606"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13.</w:t>
            </w:r>
            <w:r>
              <w:rPr>
                <w:rFonts w:ascii="Times New Roman" w:cs="Times New Roman"/>
                <w:spacing w:val="-9"/>
                <w:szCs w:val="21"/>
              </w:rPr>
              <w:t>个人移民财产转移和继承财产转移的原因及财产来源情况介绍：</w:t>
            </w:r>
          </w:p>
        </w:tc>
      </w:tr>
      <w:tr>
        <w:trPr>
          <w:cantSplit/>
          <w:trHeight w:val="820" w:hRule="atLeast"/>
        </w:trPr>
        <w:tc>
          <w:tcPr>
            <w:tcW w:w="1242" w:type="dxa"/>
            <w:vMerge w:val="restart"/>
            <w:vAlign w:val="center"/>
          </w:tcPr>
          <w:p>
            <w:pPr>
              <w:snapToGrid w:val="0"/>
              <w:jc w:val="center"/>
              <w:rPr>
                <w:rFonts w:ascii="Times New Roman" w:hAnsi="Times New Roman" w:cs="Times New Roman"/>
                <w:spacing w:val="-9"/>
                <w:szCs w:val="21"/>
              </w:rPr>
            </w:pPr>
            <w:r>
              <w:rPr>
                <w:rFonts w:ascii="Times New Roman" w:hAnsi="Times New Roman" w:cs="Times New Roman"/>
                <w:spacing w:val="-9"/>
                <w:szCs w:val="21"/>
              </w:rPr>
              <w:t xml:space="preserve">14. </w:t>
            </w:r>
            <w:r>
              <w:rPr>
                <w:rFonts w:ascii="Times New Roman" w:cs="Times New Roman"/>
                <w:spacing w:val="-9"/>
                <w:szCs w:val="21"/>
              </w:rPr>
              <w:t>申请人其他信息</w:t>
            </w:r>
          </w:p>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1</w:t>
            </w:r>
            <w:r>
              <w:rPr>
                <w:rFonts w:ascii="Times New Roman" w:cs="Times New Roman"/>
                <w:spacing w:val="-9"/>
                <w:szCs w:val="21"/>
              </w:rPr>
              <w:t>）申请人有无犯罪记录、是否涉及正在进行的刑事、民事诉讼？如有，请详细说明：</w:t>
            </w:r>
          </w:p>
          <w:p>
            <w:pPr>
              <w:snapToGrid w:val="0"/>
              <w:jc w:val="left"/>
              <w:rPr>
                <w:rFonts w:ascii="Times New Roman" w:hAnsi="Times New Roman" w:cs="Times New Roman"/>
                <w:spacing w:val="-9"/>
                <w:szCs w:val="21"/>
              </w:rPr>
            </w:pPr>
          </w:p>
        </w:tc>
      </w:tr>
      <w:tr>
        <w:trPr>
          <w:cantSplit/>
          <w:trHeight w:val="345"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2</w:t>
            </w:r>
            <w:r>
              <w:rPr>
                <w:rFonts w:ascii="Times New Roman" w:cs="Times New Roman"/>
                <w:spacing w:val="-9"/>
                <w:szCs w:val="21"/>
              </w:rPr>
              <w:t>）移民前户口所在地：</w:t>
            </w:r>
          </w:p>
        </w:tc>
      </w:tr>
      <w:tr>
        <w:trPr>
          <w:cantSplit/>
          <w:trHeight w:val="309"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3</w:t>
            </w:r>
            <w:r>
              <w:rPr>
                <w:rFonts w:ascii="Times New Roman" w:cs="Times New Roman"/>
                <w:spacing w:val="-9"/>
                <w:szCs w:val="21"/>
              </w:rPr>
              <w:t>）移民前工作单位及职务：</w:t>
            </w:r>
          </w:p>
        </w:tc>
      </w:tr>
      <w:tr>
        <w:trPr>
          <w:cantSplit/>
          <w:trHeight w:val="908"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4</w:t>
            </w:r>
            <w:r>
              <w:rPr>
                <w:rFonts w:ascii="Times New Roman" w:cs="Times New Roman"/>
                <w:spacing w:val="-9"/>
                <w:szCs w:val="21"/>
              </w:rPr>
              <w:t>）个人移民财产转移的申请人移民前是否为国家公职人员（包括国有企业负责人）及其近亲属？是</w:t>
            </w:r>
            <w:r>
              <w:rPr>
                <w:rFonts w:ascii="Times New Roman" w:hAnsi="Times New Roman" w:cs="Times New Roman"/>
                <w:spacing w:val="-9"/>
                <w:szCs w:val="21"/>
              </w:rPr>
              <w:t xml:space="preserve"> □    </w:t>
            </w:r>
            <w:r>
              <w:rPr>
                <w:rFonts w:ascii="Times New Roman" w:cs="Times New Roman"/>
                <w:spacing w:val="-9"/>
                <w:szCs w:val="21"/>
              </w:rPr>
              <w:t>否</w:t>
            </w:r>
            <w:r>
              <w:rPr>
                <w:rFonts w:ascii="Times New Roman" w:hAnsi="Times New Roman" w:cs="Times New Roman"/>
                <w:spacing w:val="-9"/>
                <w:szCs w:val="21"/>
              </w:rPr>
              <w:t>□</w:t>
            </w:r>
          </w:p>
          <w:p>
            <w:pPr>
              <w:snapToGrid w:val="0"/>
              <w:jc w:val="left"/>
              <w:rPr>
                <w:rFonts w:ascii="Times New Roman" w:hAnsi="Times New Roman" w:cs="Times New Roman"/>
                <w:spacing w:val="-9"/>
                <w:szCs w:val="21"/>
              </w:rPr>
            </w:pPr>
            <w:r>
              <w:rPr>
                <w:rFonts w:ascii="Times New Roman" w:cs="Times New Roman"/>
                <w:spacing w:val="-9"/>
                <w:szCs w:val="21"/>
              </w:rPr>
              <w:t>若勾选为</w:t>
            </w:r>
            <w:r>
              <w:rPr>
                <w:rFonts w:ascii="Times New Roman" w:hAnsi="Times New Roman" w:cs="Times New Roman"/>
                <w:spacing w:val="-9"/>
                <w:szCs w:val="21"/>
              </w:rPr>
              <w:t>“</w:t>
            </w:r>
            <w:r>
              <w:rPr>
                <w:rFonts w:ascii="Times New Roman" w:cs="Times New Roman"/>
                <w:spacing w:val="-9"/>
                <w:szCs w:val="21"/>
              </w:rPr>
              <w:t>是</w:t>
            </w:r>
            <w:r>
              <w:rPr>
                <w:rFonts w:ascii="Times New Roman" w:hAnsi="Times New Roman" w:cs="Times New Roman"/>
                <w:spacing w:val="-9"/>
                <w:szCs w:val="21"/>
              </w:rPr>
              <w:t>”</w:t>
            </w:r>
            <w:r>
              <w:rPr>
                <w:rFonts w:ascii="Times New Roman" w:cs="Times New Roman"/>
                <w:spacing w:val="-9"/>
                <w:szCs w:val="21"/>
              </w:rPr>
              <w:t>请详述具体情况：</w:t>
            </w:r>
          </w:p>
          <w:p>
            <w:pPr>
              <w:snapToGrid w:val="0"/>
              <w:jc w:val="left"/>
              <w:rPr>
                <w:rFonts w:ascii="Times New Roman" w:hAnsi="Times New Roman" w:cs="Times New Roman"/>
                <w:spacing w:val="-9"/>
                <w:szCs w:val="21"/>
              </w:rPr>
            </w:pPr>
          </w:p>
        </w:tc>
      </w:tr>
      <w:tr>
        <w:trPr>
          <w:cantSplit/>
          <w:trHeight w:val="665" w:hRule="atLeast"/>
        </w:trPr>
        <w:tc>
          <w:tcPr>
            <w:tcW w:w="1242" w:type="dxa"/>
            <w:vMerge w:val="restart"/>
            <w:vAlign w:val="center"/>
          </w:tcPr>
          <w:p>
            <w:pPr>
              <w:snapToGrid w:val="0"/>
              <w:jc w:val="center"/>
              <w:rPr>
                <w:rFonts w:ascii="Times New Roman" w:hAnsi="Times New Roman" w:cs="Times New Roman"/>
                <w:spacing w:val="-9"/>
                <w:szCs w:val="21"/>
              </w:rPr>
            </w:pPr>
            <w:r>
              <w:rPr>
                <w:rFonts w:ascii="Times New Roman" w:hAnsi="Times New Roman" w:cs="Times New Roman"/>
                <w:spacing w:val="-9"/>
                <w:szCs w:val="21"/>
              </w:rPr>
              <w:t>15.</w:t>
            </w:r>
            <w:r>
              <w:rPr>
                <w:rFonts w:ascii="Times New Roman" w:cs="Times New Roman"/>
                <w:spacing w:val="-9"/>
                <w:szCs w:val="21"/>
              </w:rPr>
              <w:t>购付汇基本信息</w:t>
            </w:r>
          </w:p>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1</w:t>
            </w:r>
            <w:r>
              <w:rPr>
                <w:rFonts w:ascii="Times New Roman" w:cs="Times New Roman"/>
                <w:spacing w:val="-9"/>
                <w:szCs w:val="21"/>
              </w:rPr>
              <w:t>）境内汇款银行金融机构标识码</w:t>
            </w:r>
          </w:p>
        </w:tc>
      </w:tr>
      <w:tr>
        <w:trPr>
          <w:cantSplit/>
          <w:trHeight w:val="688" w:hRule="atLeast"/>
        </w:trPr>
        <w:tc>
          <w:tcPr>
            <w:tcW w:w="1242" w:type="dxa"/>
            <w:vMerge w:val="continue"/>
            <w:vAlign w:val="center"/>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2</w:t>
            </w:r>
            <w:r>
              <w:rPr>
                <w:rFonts w:ascii="Times New Roman" w:cs="Times New Roman"/>
                <w:spacing w:val="-9"/>
                <w:szCs w:val="21"/>
              </w:rPr>
              <w:t>）境内汇款银行名称</w:t>
            </w:r>
          </w:p>
        </w:tc>
      </w:tr>
      <w:tr>
        <w:trPr>
          <w:cantSplit/>
          <w:trHeight w:val="712"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3</w:t>
            </w:r>
            <w:r>
              <w:rPr>
                <w:rFonts w:ascii="Times New Roman" w:cs="Times New Roman"/>
                <w:spacing w:val="-9"/>
                <w:szCs w:val="21"/>
              </w:rPr>
              <w:t>）境内汇款银行账户账号</w:t>
            </w:r>
          </w:p>
        </w:tc>
      </w:tr>
      <w:tr>
        <w:trPr>
          <w:cantSplit/>
          <w:trHeight w:val="69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4</w:t>
            </w:r>
            <w:r>
              <w:rPr>
                <w:rFonts w:ascii="Times New Roman" w:cs="Times New Roman"/>
                <w:spacing w:val="-9"/>
                <w:szCs w:val="21"/>
              </w:rPr>
              <w:t>）购付汇币种</w:t>
            </w:r>
          </w:p>
        </w:tc>
      </w:tr>
      <w:tr>
        <w:trPr>
          <w:cantSplit/>
          <w:trHeight w:val="70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5</w:t>
            </w:r>
            <w:r>
              <w:rPr>
                <w:rFonts w:ascii="Times New Roman" w:cs="Times New Roman"/>
                <w:spacing w:val="-9"/>
                <w:szCs w:val="21"/>
              </w:rPr>
              <w:t>）境外收款银行名称</w:t>
            </w:r>
          </w:p>
        </w:tc>
      </w:tr>
      <w:tr>
        <w:trPr>
          <w:cantSplit/>
          <w:trHeight w:val="632"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6</w:t>
            </w:r>
            <w:r>
              <w:rPr>
                <w:rFonts w:ascii="Times New Roman" w:cs="Times New Roman"/>
                <w:spacing w:val="-9"/>
                <w:szCs w:val="21"/>
              </w:rPr>
              <w:t>）境外收款银行所在国家</w:t>
            </w:r>
            <w:r>
              <w:rPr>
                <w:rFonts w:ascii="Times New Roman" w:hAnsi="Times New Roman" w:cs="Times New Roman"/>
                <w:spacing w:val="-9"/>
                <w:szCs w:val="21"/>
              </w:rPr>
              <w:t>/</w:t>
            </w:r>
            <w:r>
              <w:rPr>
                <w:rFonts w:ascii="Times New Roman" w:cs="Times New Roman"/>
                <w:spacing w:val="-9"/>
                <w:szCs w:val="21"/>
              </w:rPr>
              <w:t>地区</w:t>
            </w:r>
          </w:p>
        </w:tc>
      </w:tr>
      <w:tr>
        <w:trPr>
          <w:cantSplit/>
          <w:trHeight w:val="62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7</w:t>
            </w:r>
            <w:r>
              <w:rPr>
                <w:rFonts w:ascii="Times New Roman" w:cs="Times New Roman"/>
                <w:spacing w:val="-9"/>
                <w:szCs w:val="21"/>
              </w:rPr>
              <w:t>）境外收款银行地址</w:t>
            </w:r>
          </w:p>
        </w:tc>
      </w:tr>
      <w:tr>
        <w:trPr>
          <w:cantSplit/>
          <w:trHeight w:val="64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8</w:t>
            </w:r>
            <w:r>
              <w:rPr>
                <w:rFonts w:ascii="Times New Roman" w:cs="Times New Roman"/>
                <w:spacing w:val="-9"/>
                <w:szCs w:val="21"/>
              </w:rPr>
              <w:t>）境外收款账户账号</w:t>
            </w:r>
          </w:p>
        </w:tc>
      </w:tr>
      <w:tr>
        <w:trPr>
          <w:cantSplit/>
          <w:trHeight w:val="756"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9</w:t>
            </w:r>
            <w:r>
              <w:rPr>
                <w:rFonts w:ascii="Times New Roman" w:cs="Times New Roman"/>
                <w:spacing w:val="-9"/>
                <w:szCs w:val="21"/>
              </w:rPr>
              <w:t>）境外收款人</w:t>
            </w:r>
          </w:p>
        </w:tc>
      </w:tr>
      <w:tr>
        <w:trPr>
          <w:trHeight w:val="270" w:hRule="atLeast"/>
        </w:trPr>
        <w:tc>
          <w:tcPr>
            <w:tcW w:w="8508" w:type="dxa"/>
            <w:gridSpan w:val="7"/>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16.□</w:t>
            </w:r>
            <w:r>
              <w:rPr>
                <w:rFonts w:ascii="Times New Roman" w:cs="Times New Roman"/>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pPr>
              <w:snapToGrid w:val="0"/>
              <w:jc w:val="left"/>
              <w:rPr>
                <w:rFonts w:ascii="Times New Roman" w:cs="Times New Roman"/>
                <w:spacing w:val="-9"/>
                <w:szCs w:val="21"/>
              </w:rPr>
            </w:pPr>
            <w:r>
              <w:rPr>
                <w:rFonts w:ascii="Times New Roman" w:hAnsi="Times New Roman" w:cs="Times New Roman"/>
                <w:spacing w:val="-9"/>
                <w:szCs w:val="21"/>
              </w:rPr>
              <w:sym w:font="Wingdings 2" w:char="00A3"/>
            </w:r>
            <w:r>
              <w:rPr>
                <w:rFonts w:ascii="Times New Roman" w:cs="Times New Roman"/>
                <w:spacing w:val="-9"/>
                <w:szCs w:val="21"/>
              </w:rPr>
              <w:t>委托代理协议为针对本次财产转移的唯一一份委托代理协议或最新签署的委托代理协议。</w:t>
            </w:r>
          </w:p>
          <w:p>
            <w:pPr>
              <w:snapToGrid w:val="0"/>
              <w:jc w:val="left"/>
              <w:rPr>
                <w:rFonts w:ascii="Times New Roman" w:cs="Times New Roman"/>
                <w:spacing w:val="-9"/>
                <w:szCs w:val="21"/>
              </w:rPr>
            </w:pPr>
          </w:p>
          <w:p>
            <w:pPr>
              <w:snapToGrid w:val="0"/>
              <w:jc w:val="left"/>
              <w:rPr>
                <w:rFonts w:ascii="Times New Roman" w:cs="Times New Roman"/>
                <w:spacing w:val="-9"/>
                <w:szCs w:val="21"/>
              </w:rPr>
            </w:pPr>
          </w:p>
          <w:p>
            <w:pPr>
              <w:snapToGrid w:val="0"/>
              <w:jc w:val="left"/>
              <w:rPr>
                <w:rFonts w:hint="default" w:ascii="Times New Roman" w:eastAsia="宋体" w:cs="Times New Roman"/>
                <w:spacing w:val="-9"/>
                <w:szCs w:val="21"/>
                <w:lang w:val="en-US" w:eastAsia="zh-CN"/>
              </w:rPr>
            </w:pPr>
            <w:r>
              <w:rPr>
                <w:rFonts w:hint="eastAsia" w:ascii="Times New Roman" w:cs="Times New Roman"/>
                <w:spacing w:val="-9"/>
                <w:szCs w:val="21"/>
                <w:lang w:val="en-US" w:eastAsia="zh-CN"/>
              </w:rPr>
              <w:t xml:space="preserve">                                                                    签名：</w:t>
            </w:r>
          </w:p>
          <w:p>
            <w:pPr>
              <w:snapToGrid w:val="0"/>
              <w:ind w:firstLine="288" w:firstLineChars="150"/>
              <w:jc w:val="center"/>
              <w:rPr>
                <w:rFonts w:ascii="Times New Roman" w:hAnsi="Times New Roman" w:cs="Times New Roman"/>
                <w:spacing w:val="-9"/>
                <w:szCs w:val="21"/>
              </w:rPr>
            </w:pPr>
          </w:p>
          <w:p>
            <w:pPr>
              <w:snapToGrid w:val="0"/>
              <w:rPr>
                <w:rFonts w:ascii="Times New Roman" w:cs="Times New Roman"/>
                <w:spacing w:val="-9"/>
                <w:szCs w:val="21"/>
              </w:rPr>
            </w:pPr>
            <w:r>
              <w:rPr>
                <w:rFonts w:ascii="Times New Roman" w:hAnsi="Times New Roman" w:cs="Times New Roman"/>
                <w:spacing w:val="-9"/>
                <w:szCs w:val="21"/>
              </w:rPr>
              <w:t xml:space="preserve">                                         </w:t>
            </w:r>
            <w:r>
              <w:rPr>
                <w:rFonts w:hint="eastAsia" w:ascii="Times New Roman" w:hAnsi="Times New Roman" w:cs="Times New Roman"/>
                <w:spacing w:val="-9"/>
                <w:szCs w:val="21"/>
                <w:lang w:val="en-US" w:eastAsia="zh-CN"/>
              </w:rPr>
              <w:t xml:space="preserve">                     </w:t>
            </w:r>
            <w:r>
              <w:rPr>
                <w:rFonts w:ascii="Times New Roman" w:hAnsi="Times New Roman" w:cs="Times New Roman"/>
                <w:spacing w:val="-9"/>
                <w:szCs w:val="21"/>
              </w:rPr>
              <w:t xml:space="preserve"> </w:t>
            </w:r>
            <w:r>
              <w:rPr>
                <w:rFonts w:ascii="Times New Roman" w:cs="Times New Roman"/>
                <w:spacing w:val="-9"/>
                <w:szCs w:val="21"/>
              </w:rPr>
              <w:t>日期：</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p>
            <w:pPr>
              <w:snapToGrid w:val="0"/>
              <w:rPr>
                <w:rFonts w:ascii="Times New Roman" w:hAnsi="Times New Roman" w:cs="Times New Roman"/>
                <w:spacing w:val="-9"/>
                <w:szCs w:val="21"/>
              </w:rPr>
            </w:pPr>
          </w:p>
        </w:tc>
      </w:tr>
    </w:tbl>
    <w:p>
      <w:pPr>
        <w:spacing w:line="360" w:lineRule="auto"/>
        <w:jc w:val="center"/>
        <w:rPr>
          <w:rFonts w:ascii="Times New Roman" w:hAnsi="Times New Roman" w:cs="Times New Roman"/>
          <w:sz w:val="24"/>
        </w:rPr>
        <w:sectPr>
          <w:footerReference r:id="rId5"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错误示例</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未提前办理中国驻外使领馆出具（或认证）的申请人在国外定居证明。申请人在提交材料时发现未及时办理中国驻外使领馆出具（或认证）的申请人在国外定居证明，需返回国外赴中国驻外使领馆等机构补充办理相关手续，导致业务无法及时办理。</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申请人无法提供主管税务部门出具的税务证明原件或相关免税证明。申请人需提供其转让财产所涉及的所得税、增值税等全部税种的税务证明，无需纳税或免税的也需提供税务部门的相关证明。</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申请人在填写《个人财产转移业务申请表》时，申请金额错填为税前金额，实际应填写扣除已纳税后的净额，而不是纳税前金额。</w:t>
      </w: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ind w:firstLine="600" w:firstLineChars="200"/>
        <w:rPr>
          <w:rFonts w:ascii="Times New Roman" w:hAnsi="Times New Roman" w:eastAsia="黑体" w:cs="Times New Roman"/>
          <w:sz w:val="30"/>
          <w:szCs w:val="30"/>
        </w:rPr>
      </w:pPr>
    </w:p>
    <w:p>
      <w:pPr>
        <w:rPr>
          <w:rFonts w:ascii="Times New Roman" w:hAnsi="Times New Roman" w:eastAsia="黑体" w:cs="Times New Roman"/>
          <w:sz w:val="30"/>
          <w:szCs w:val="30"/>
        </w:rPr>
      </w:pPr>
    </w:p>
    <w:p>
      <w:pPr>
        <w:adjustRightInd w:val="0"/>
        <w:snapToGrid w:val="0"/>
        <w:spacing w:line="360" w:lineRule="auto"/>
        <w:rPr>
          <w:rFonts w:hint="eastAsia" w:ascii="Times New Roman" w:hAnsi="Times New Roman" w:eastAsia="仿宋_GB2312" w:cs="Times New Roman"/>
          <w:sz w:val="30"/>
          <w:szCs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附录四</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rPr>
      </w:pPr>
    </w:p>
    <w:p>
      <w:pPr>
        <w:pStyle w:val="18"/>
        <w:adjustRightInd w:val="0"/>
        <w:snapToGrid w:val="0"/>
        <w:spacing w:line="360" w:lineRule="auto"/>
        <w:ind w:firstLine="643" w:firstLineChars="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问：个人申请办理移民财产对外转移，应该如何提供财产权利证明文件？</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答：对个人薪酬所得（包括工资和薪金所得、稿酬所得、劳务报酬等）应提交有关收入来源证明。</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对利息、股息、红利所得应提交存款证明，股票、债券开户及交易记录；对财产租赁所得、财产转让所得、特许权使用等应提供财产租赁、转让、特许权使用的合同或协议、房屋产权证、房地产买卖契约或拆迁补偿安置协议。</w:t>
      </w:r>
    </w:p>
    <w:p>
      <w:pPr>
        <w:adjustRightInd w:val="0"/>
        <w:snapToGrid w:val="0"/>
        <w:spacing w:line="360" w:lineRule="auto"/>
        <w:ind w:firstLine="600" w:firstLineChars="200"/>
        <w:rPr>
          <w:rFonts w:ascii="Times New Roman" w:hAnsi="Times New Roman" w:eastAsia="黑体" w:cs="Times New Roman"/>
          <w:sz w:val="48"/>
          <w:szCs w:val="48"/>
        </w:rPr>
      </w:pPr>
      <w:r>
        <w:rPr>
          <w:rFonts w:ascii="Times New Roman" w:hAnsi="Times New Roman" w:eastAsia="仿宋_GB2312" w:cs="Times New Roman"/>
          <w:kern w:val="0"/>
          <w:sz w:val="30"/>
          <w:szCs w:val="30"/>
        </w:rPr>
        <w:t>对偶然所得（包括合法的福利彩票、体育彩票等）及其他财产或收入需提交真实交易记录证明。</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4022">
    <w:nsid w:val="5A1101D6"/>
    <w:multiLevelType w:val="singleLevel"/>
    <w:tmpl w:val="5A1101D6"/>
    <w:lvl w:ilvl="0" w:tentative="1">
      <w:start w:val="12"/>
      <w:numFmt w:val="chineseCounting"/>
      <w:suff w:val="nothing"/>
      <w:lvlText w:val="（%1）"/>
      <w:lvlJc w:val="left"/>
    </w:lvl>
  </w:abstractNum>
  <w:abstractNum w:abstractNumId="1511064076">
    <w:nsid w:val="5A11020C"/>
    <w:multiLevelType w:val="singleLevel"/>
    <w:tmpl w:val="5A11020C"/>
    <w:lvl w:ilvl="0" w:tentative="1">
      <w:start w:val="14"/>
      <w:numFmt w:val="chineseCounting"/>
      <w:suff w:val="nothing"/>
      <w:lvlText w:val="（%1）"/>
      <w:lvlJc w:val="left"/>
    </w:lvl>
  </w:abstractNum>
  <w:abstractNum w:abstractNumId="1511063988">
    <w:nsid w:val="5A1101B4"/>
    <w:multiLevelType w:val="singleLevel"/>
    <w:tmpl w:val="5A1101B4"/>
    <w:lvl w:ilvl="0" w:tentative="1">
      <w:start w:val="11"/>
      <w:numFmt w:val="chineseCounting"/>
      <w:suff w:val="nothing"/>
      <w:lvlText w:val="（%1）"/>
      <w:lvlJc w:val="left"/>
    </w:lvl>
  </w:abstractNum>
  <w:num w:numId="1">
    <w:abstractNumId w:val="1511063988"/>
  </w:num>
  <w:num w:numId="2">
    <w:abstractNumId w:val="1511064022"/>
  </w:num>
  <w:num w:numId="3">
    <w:abstractNumId w:val="1511064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3"/>
    <w:qFormat/>
    <w:uiPriority w:val="9"/>
    <w:pPr>
      <w:ind w:right="300"/>
      <w:outlineLvl w:val="2"/>
    </w:pPr>
    <w:rPr>
      <w:rFonts w:ascii="仿宋_GB2312" w:hAnsi="Calibri" w:eastAsia="仿宋_GB2312" w:cs="Times New Roman"/>
      <w:sz w:val="30"/>
      <w:szCs w:val="30"/>
    </w:rPr>
  </w:style>
  <w:style w:type="character" w:default="1" w:styleId="12">
    <w:name w:val="Default Paragraph Font"/>
    <w:semiHidden/>
    <w:unhideWhenUsed/>
    <w:uiPriority w:val="1"/>
  </w:style>
  <w:style w:type="paragraph" w:styleId="5">
    <w:name w:val="Document Map"/>
    <w:basedOn w:val="1"/>
    <w:link w:val="36"/>
    <w:unhideWhenUsed/>
    <w:uiPriority w:val="0"/>
    <w:rPr>
      <w:rFonts w:ascii="宋体"/>
      <w:sz w:val="18"/>
      <w:szCs w:val="18"/>
    </w:rPr>
  </w:style>
  <w:style w:type="paragraph" w:styleId="6">
    <w:name w:val="annotation text"/>
    <w:basedOn w:val="1"/>
    <w:link w:val="30"/>
    <w:unhideWhenUsed/>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kern w:val="2"/>
      <w:sz w:val="18"/>
      <w:szCs w:val="18"/>
    </w:rPr>
  </w:style>
  <w:style w:type="character" w:customStyle="1" w:styleId="11">
    <w:name w:val="脚注文本 Char"/>
    <w:basedOn w:val="12"/>
    <w:semiHidden/>
    <w:qFormat/>
    <w:uiPriority w:val="99"/>
    <w:rPr>
      <w:kern w:val="2"/>
      <w:sz w:val="18"/>
      <w:szCs w:val="18"/>
    </w:rPr>
  </w:style>
  <w:style w:type="paragraph" w:styleId="13">
    <w:name w:val="HTML Preformatted"/>
    <w:basedOn w:val="1"/>
    <w:link w:val="2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2"/>
    <w:unhideWhenUsed/>
    <w:qFormat/>
    <w:uiPriority w:val="99"/>
    <w:rPr>
      <w:rFonts w:hint="default" w:ascii="ˎ̥" w:hAnsi="ˎ̥"/>
      <w:color w:val="0453CC"/>
      <w:sz w:val="20"/>
      <w:szCs w:val="20"/>
      <w:u w:val="none"/>
    </w:rPr>
  </w:style>
  <w:style w:type="character" w:styleId="16">
    <w:name w:val="annotation reference"/>
    <w:basedOn w:val="12"/>
    <w:semiHidden/>
    <w:unhideWhenUsed/>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0">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Revision"/>
    <w:hidden/>
    <w:semiHidden/>
    <w:qFormat/>
    <w:uiPriority w:val="99"/>
    <w:rPr>
      <w:rFonts w:ascii="Calibri" w:hAnsi="Calibri" w:eastAsia="宋体" w:cs="黑体"/>
      <w:kern w:val="2"/>
      <w:sz w:val="21"/>
      <w:szCs w:val="22"/>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列出段落4"/>
    <w:basedOn w:val="1"/>
    <w:qFormat/>
    <w:uiPriority w:val="0"/>
    <w:pPr>
      <w:ind w:firstLine="200" w:firstLineChars="200"/>
    </w:pPr>
    <w:rPr>
      <w:rFonts w:ascii="Calibri" w:hAnsi="Calibri" w:eastAsia="宋体" w:cs="Times New Roman"/>
    </w:rPr>
  </w:style>
  <w:style w:type="paragraph" w:customStyle="1" w:styleId="24">
    <w:name w:val="列出段落3"/>
    <w:basedOn w:val="1"/>
    <w:qFormat/>
    <w:uiPriority w:val="0"/>
    <w:pPr>
      <w:ind w:firstLine="420" w:firstLineChars="200"/>
    </w:pPr>
    <w:rPr>
      <w:rFonts w:ascii="Times New Roman" w:hAnsi="Times New Roman" w:eastAsia="宋体" w:cs="Times New Roman"/>
      <w:szCs w:val="24"/>
    </w:r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页眉 Char Char"/>
    <w:basedOn w:val="12"/>
    <w:link w:val="9"/>
    <w:uiPriority w:val="99"/>
    <w:rPr>
      <w:sz w:val="18"/>
      <w:szCs w:val="18"/>
    </w:rPr>
  </w:style>
  <w:style w:type="character" w:customStyle="1" w:styleId="27">
    <w:name w:val="页脚 Char Char"/>
    <w:basedOn w:val="12"/>
    <w:link w:val="8"/>
    <w:uiPriority w:val="99"/>
    <w:rPr>
      <w:sz w:val="18"/>
      <w:szCs w:val="18"/>
    </w:rPr>
  </w:style>
  <w:style w:type="character" w:customStyle="1" w:styleId="28">
    <w:name w:val="批注框文本 Char Char"/>
    <w:basedOn w:val="12"/>
    <w:link w:val="7"/>
    <w:uiPriority w:val="0"/>
    <w:rPr>
      <w:sz w:val="18"/>
      <w:szCs w:val="18"/>
    </w:rPr>
  </w:style>
  <w:style w:type="character" w:customStyle="1" w:styleId="29">
    <w:name w:val="HTML 预设格式 Char Char"/>
    <w:basedOn w:val="12"/>
    <w:link w:val="13"/>
    <w:uiPriority w:val="99"/>
    <w:rPr>
      <w:rFonts w:ascii="宋体" w:hAnsi="宋体" w:eastAsia="宋体" w:cs="宋体"/>
      <w:kern w:val="0"/>
      <w:sz w:val="24"/>
      <w:szCs w:val="24"/>
    </w:rPr>
  </w:style>
  <w:style w:type="character" w:customStyle="1" w:styleId="30">
    <w:name w:val="批注文字 Char Char"/>
    <w:basedOn w:val="12"/>
    <w:link w:val="6"/>
    <w:uiPriority w:val="0"/>
    <w:rPr>
      <w:rFonts w:ascii="Calibri" w:hAnsi="Calibri" w:eastAsia="宋体" w:cs="Times New Roman"/>
    </w:rPr>
  </w:style>
  <w:style w:type="character" w:customStyle="1" w:styleId="31">
    <w:name w:val="标题 1 Char Char"/>
    <w:basedOn w:val="12"/>
    <w:link w:val="2"/>
    <w:uiPriority w:val="9"/>
    <w:rPr>
      <w:rFonts w:ascii="黑体" w:hAnsi="黑体" w:eastAsia="黑体" w:cs="宋体"/>
      <w:color w:val="000000"/>
      <w:kern w:val="0"/>
      <w:sz w:val="30"/>
      <w:szCs w:val="30"/>
    </w:rPr>
  </w:style>
  <w:style w:type="character" w:customStyle="1" w:styleId="32">
    <w:name w:val="标题 2 Char Char"/>
    <w:basedOn w:val="12"/>
    <w:link w:val="3"/>
    <w:uiPriority w:val="0"/>
    <w:rPr>
      <w:rFonts w:ascii="Cambria" w:hAnsi="Cambria" w:eastAsia="宋体" w:cs="Times New Roman"/>
      <w:b/>
      <w:bCs/>
      <w:sz w:val="32"/>
      <w:szCs w:val="32"/>
    </w:rPr>
  </w:style>
  <w:style w:type="character" w:customStyle="1" w:styleId="33">
    <w:name w:val="标题 3 Char Char"/>
    <w:basedOn w:val="12"/>
    <w:link w:val="4"/>
    <w:uiPriority w:val="9"/>
    <w:rPr>
      <w:rFonts w:ascii="仿宋_GB2312" w:hAnsi="Calibri" w:eastAsia="仿宋_GB2312" w:cs="Times New Roman"/>
      <w:sz w:val="30"/>
      <w:szCs w:val="30"/>
    </w:rPr>
  </w:style>
  <w:style w:type="character" w:customStyle="1" w:styleId="34">
    <w:name w:val="脚注文本 Char1"/>
    <w:basedOn w:val="12"/>
    <w:link w:val="10"/>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Char"/>
    <w:basedOn w:val="12"/>
    <w:link w:val="5"/>
    <w:uiPriority w:val="0"/>
    <w:rPr>
      <w:rFonts w:ascii="宋体"/>
      <w:sz w:val="18"/>
      <w:szCs w:val="18"/>
    </w:rPr>
  </w:style>
  <w:style w:type="character" w:customStyle="1" w:styleId="37">
    <w:name w:val="批注文字 Char1"/>
    <w:basedOn w:val="12"/>
    <w:semiHidden/>
    <w:qFormat/>
    <w:uiPriority w:val="99"/>
    <w:rPr>
      <w:kern w:val="2"/>
      <w:sz w:val="21"/>
      <w:szCs w:val="22"/>
    </w:rPr>
  </w:style>
  <w:style w:type="character" w:customStyle="1" w:styleId="38">
    <w:name w:val="Intense Emphasis"/>
    <w:basedOn w:val="12"/>
    <w:qFormat/>
    <w:uiPriority w:val="21"/>
    <w:rPr>
      <w:b/>
      <w:bCs/>
      <w:i/>
      <w:iCs/>
      <w:color w:val="4F81BD"/>
    </w:rPr>
  </w:style>
  <w:style w:type="character" w:customStyle="1" w:styleId="39">
    <w:name w:val="文档结构图 Char1"/>
    <w:basedOn w:val="12"/>
    <w:semiHidden/>
    <w:qFormat/>
    <w:uiPriority w:val="99"/>
    <w:rPr>
      <w:rFonts w:ascii="宋体" w:eastAsia="宋体"/>
      <w:sz w:val="18"/>
      <w:szCs w:val="18"/>
    </w:rPr>
  </w:style>
  <w:style w:type="character" w:customStyle="1" w:styleId="40">
    <w:name w:val="脚注文本 Char2"/>
    <w:basedOn w:val="1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674</Words>
  <Characters>3848</Characters>
  <Lines>32</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2020-03-18T03:25:00Z</dcterms:created>
  <dc:creator>裴建君2</dc:creator>
  <cp:lastModifiedBy>韩美琪/收支处/长春/PBC</cp:lastModifiedBy>
  <cp:lastPrinted>2020-01-15T09:21:00Z</cp:lastPrinted>
  <dcterms:modified xsi:type="dcterms:W3CDTF">2023-09-01T07:58:24Z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