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编号：57013</w:t>
      </w:r>
      <w:r>
        <w:rPr>
          <w:rFonts w:hint="eastAsia" w:ascii="Times New Roman" w:hAnsi="Times New Roman" w:eastAsia="黑体" w:cs="Times New Roman"/>
          <w:sz w:val="48"/>
          <w:szCs w:val="48"/>
        </w:rPr>
        <w:t xml:space="preserve">               </w:t>
      </w: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drawing>
          <wp:inline distT="0" distB="0" distL="114300" distR="114300">
            <wp:extent cx="1105535" cy="882650"/>
            <wp:effectExtent l="0" t="0" r="18415" b="12700"/>
            <wp:docPr id="23" name="图片框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框 1048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“银行、农村信用社、兑换机构及非金融机构等结汇、售汇业务市场准入、退出审批”行政审批</w:t>
      </w: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吉林省分局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 </w:t>
      </w: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项目名称：银行、农村信用社、兑换机构及非金融机构等结汇、售汇业务市场准入、退出审批；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项目编号：57013；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本指南适用于“银行、农村信用社、兑换机构及非金融机构等结汇、售汇业务市场准入、退出审批”的申请和办理。</w:t>
      </w:r>
    </w:p>
    <w:p>
      <w:pPr>
        <w:tabs>
          <w:tab w:val="left" w:pos="3718"/>
        </w:tabs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  <w:r>
        <w:rPr>
          <w:rFonts w:ascii="Times New Roman" w:hAnsi="Times New Roman" w:eastAsia="黑体" w:cs="Times New Roman"/>
          <w:sz w:val="30"/>
          <w:szCs w:val="30"/>
        </w:rPr>
        <w:tab/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《中华人民共和国外汇管理条例》（国务院令第532号）第二十四条：“金融机构经营或者终止经营结汇、售汇业务，应当经外汇管理机关批准；经营或者终止经营其他外汇业务，应当按照职责分工经外汇管理机关或者金融业监督管理机构批准”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（二）《中华人民共和国外汇管理条例》（国务院令第532号）第五十三条：“非金融机构经营结汇、售汇业务，应当由国务院外汇管理部门批准，具体管理办法由国务院外汇管理部门另行制定”。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四、银行合作办理远期结售汇业务市场准入审批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（一）办理依据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1.《中华人民共和国外汇管理条例》（国务院令第532号）；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2.《国家外汇管理局关于合作办理远期结售汇业务有关问题的通知》（汇发[2010]62号）。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（二）受理机构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申请人</w:t>
      </w:r>
      <w:r>
        <w:rPr>
          <w:rFonts w:ascii="Times New Roman" w:hAnsi="Times New Roman" w:eastAsia="仿宋_GB2312" w:cs="Times New Roman"/>
          <w:sz w:val="30"/>
          <w:szCs w:val="30"/>
        </w:rPr>
        <w:t>向国家外汇管理局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吉林省分局</w:t>
      </w:r>
      <w:r>
        <w:rPr>
          <w:rFonts w:ascii="Times New Roman" w:hAnsi="Times New Roman" w:eastAsia="仿宋_GB2312" w:cs="Times New Roman"/>
          <w:sz w:val="30"/>
          <w:szCs w:val="30"/>
        </w:rPr>
        <w:t>申请，如处于市（地、州、区）、县，应向所在地国家外汇管理局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分</w:t>
      </w:r>
      <w:bookmarkStart w:id="0" w:name="_GoBack"/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支</w:t>
      </w:r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机构</w:t>
      </w:r>
      <w:r>
        <w:rPr>
          <w:rFonts w:ascii="Times New Roman" w:hAnsi="Times New Roman" w:eastAsia="仿宋_GB2312" w:cs="Times New Roman"/>
          <w:sz w:val="30"/>
          <w:szCs w:val="30"/>
        </w:rPr>
        <w:t>申请，并逐级上报至国家外汇管理局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吉林省分局。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（三）决定机构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国家外汇管理局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吉林省分局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（四）审批数量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（五）办事条件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申请人可为境内银行总行或其分支机构。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1.境内银行总行需同时符合以下条件：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（1）具有国家外汇管理局及其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分支机构</w:t>
      </w:r>
      <w:r>
        <w:rPr>
          <w:rFonts w:ascii="Times New Roman" w:hAnsi="Times New Roman" w:eastAsia="仿宋_GB2312" w:cs="Times New Roman"/>
          <w:sz w:val="30"/>
          <w:szCs w:val="30"/>
        </w:rPr>
        <w:t>核准的即期结售汇业务资格，并已开办即期结售汇业务2年（含）以上；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（2）近2年（含）即期结售汇业务经营中未发生重大违规行为；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（3）上年度外汇资产季平均余额在等值2000万美元（含）以上；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（4）近2年执行外汇管理规定情况考核等级为B级（含）以上；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（5）具有完善的合作办理远期结售汇业务管理制度；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2.境内银行分支机构需同时符合以下条件：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（1）具有国家外汇管理局及其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分支机构</w:t>
      </w:r>
      <w:r>
        <w:rPr>
          <w:rFonts w:ascii="Times New Roman" w:hAnsi="Times New Roman" w:eastAsia="仿宋_GB2312" w:cs="Times New Roman"/>
          <w:sz w:val="30"/>
          <w:szCs w:val="30"/>
        </w:rPr>
        <w:t>核准的即期结售汇业务资格，并已开办即期结售汇业务2年（含）以上；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（2）近2年（含）即期结售汇业务经营中未发生重大违规行为；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（3）近2年执行外汇管理规定情况考核等级为B级（含）以上；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（4）取得其总行（或总社）授权。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（六）申请材料</w:t>
      </w:r>
    </w:p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银行总行合作办理远期结售汇业务市场准入审批</w:t>
      </w:r>
      <w:r>
        <w:rPr>
          <w:rFonts w:ascii="Times New Roman" w:hAnsi="Times New Roman" w:eastAsia="仿宋_GB2312" w:cs="Times New Roman"/>
          <w:sz w:val="30"/>
          <w:szCs w:val="30"/>
        </w:rPr>
        <w:t>申请材料清单</w:t>
      </w:r>
    </w:p>
    <w:tbl>
      <w:tblPr>
        <w:tblStyle w:val="1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961"/>
        <w:gridCol w:w="457"/>
        <w:gridCol w:w="850"/>
        <w:gridCol w:w="1843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申请报告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合作办理远期结售汇业务相关管理制度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包括：业务操作规程、内部职责分工、统计报告制度、风险控制措施、会计核算制度等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与具备资格银行签订的合作协议书范本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上年度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个季度的外汇资产负债表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银行分支机构合作办理远期结售汇业务市场准入审批</w:t>
      </w:r>
      <w:r>
        <w:rPr>
          <w:rFonts w:ascii="Times New Roman" w:hAnsi="Times New Roman" w:eastAsia="仿宋_GB2312" w:cs="Times New Roman"/>
          <w:sz w:val="30"/>
          <w:szCs w:val="30"/>
        </w:rPr>
        <w:t>申请材料</w:t>
      </w:r>
    </w:p>
    <w:tbl>
      <w:tblPr>
        <w:tblStyle w:val="1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961"/>
        <w:gridCol w:w="457"/>
        <w:gridCol w:w="850"/>
        <w:gridCol w:w="1843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申请报告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合作办理远期结售汇业务相关管理制度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包括：业务操作规程、内部职责分工、统计报告制度、风险控制措施、会计核算制度等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与具备资格银行签订的合作协议书范本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总行（或总社）的授权文件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（七）申请接受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申请人可通过窗口、邮寄、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国家外汇管理局政务服务网上办理系统</w:t>
      </w:r>
      <w:r>
        <w:rPr>
          <w:rFonts w:ascii="Times New Roman" w:hAnsi="Times New Roman" w:eastAsia="仿宋_GB2312" w:cs="Times New Roman"/>
          <w:sz w:val="30"/>
          <w:szCs w:val="30"/>
        </w:rPr>
        <w:t>等方式提交材料。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（八）基本办理流程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1.申请人提交申请；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2.决定是否予以受理；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3.不予受理的，出具不予受理通知书；受理的，出具受理通知书，进行审查报批；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4.不予许可的，出具不予许可通知书。许可的，向申请人出具备案通知书。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5.材料不全或不符合法定形式的，一次性告知补正材料，并出具《行政许可补正通知书》。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（九）办理方式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一般程序：申请、受理、审查、出具备案通知书。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（十）审批时限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（十一）审批收费依据及标准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（十二）审批结果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备案通知书。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（十三）结果送达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通过现场告知或电话通知申请人，并通过现场领取或邮寄方式将结果送达。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（十四）申请人权利和义务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（十五）事项审查类型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前审后批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（十六）办公地址和时间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该项行政许可具体由国家外汇管理局</w:t>
      </w:r>
      <w:r>
        <w:rPr>
          <w:rFonts w:hint="eastAsia" w:eastAsia="仿宋_GB2312"/>
          <w:sz w:val="30"/>
          <w:szCs w:val="30"/>
          <w:lang w:eastAsia="zh-CN"/>
        </w:rPr>
        <w:t>吉林省分局及分支机构</w:t>
      </w:r>
      <w:r>
        <w:rPr>
          <w:rFonts w:eastAsia="仿宋_GB2312"/>
          <w:sz w:val="30"/>
          <w:szCs w:val="30"/>
        </w:rPr>
        <w:t>办理，</w:t>
      </w:r>
      <w:r>
        <w:rPr>
          <w:rFonts w:hint="eastAsia" w:eastAsia="仿宋_GB2312"/>
          <w:sz w:val="30"/>
          <w:szCs w:val="30"/>
        </w:rPr>
        <w:t>国家外汇管理局吉林省</w:t>
      </w:r>
      <w:r>
        <w:rPr>
          <w:rFonts w:hint="eastAsia" w:eastAsia="仿宋_GB2312"/>
          <w:sz w:val="30"/>
          <w:szCs w:val="30"/>
          <w:lang w:eastAsia="zh-CN"/>
        </w:rPr>
        <w:t>分局及分支机构</w:t>
      </w:r>
      <w:r>
        <w:rPr>
          <w:rFonts w:hint="eastAsia" w:eastAsia="仿宋_GB2312"/>
          <w:sz w:val="30"/>
          <w:szCs w:val="30"/>
        </w:rPr>
        <w:t>的</w:t>
      </w:r>
      <w:r>
        <w:rPr>
          <w:rFonts w:eastAsia="仿宋_GB2312"/>
          <w:sz w:val="30"/>
          <w:szCs w:val="30"/>
        </w:rPr>
        <w:t>办公地址和办公时间见</w:t>
      </w:r>
      <w:r>
        <w:rPr>
          <w:rFonts w:hint="eastAsia" w:eastAsia="仿宋_GB2312"/>
          <w:sz w:val="30"/>
          <w:szCs w:val="30"/>
        </w:rPr>
        <w:t>国家外汇管理局吉林省分局官方互联网站“咨询反馈——联系我们”栏目。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（十七）禁止性要求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如符合上述条件，不存在不予许可的情况。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（十八）咨询途径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电话、电子邮件、网址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（十九）办理进程和结果公开查询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向外汇局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吉林省分局及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分支机构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进行咨询、进程查询、监督和投诉等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</w:rPr>
        <w:t>可通过国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家外汇管理局吉林省分局官方互联网站“咨询反馈”栏目进行。网址为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"http://www.safe.gov.cn/jilin" </w:instrText>
      </w:r>
      <w:r>
        <w:rPr>
          <w:color w:val="auto"/>
        </w:rPr>
        <w:fldChar w:fldCharType="separate"/>
      </w:r>
      <w:r>
        <w:rPr>
          <w:rStyle w:val="16"/>
          <w:rFonts w:ascii="Times New Roman" w:hAnsi="Times New Roman" w:eastAsia="仿宋_GB2312" w:cs="Times New Roman"/>
          <w:color w:val="auto"/>
          <w:sz w:val="30"/>
          <w:szCs w:val="30"/>
        </w:rPr>
        <w:t>www.safe.gov.cn/jilin</w:t>
      </w:r>
      <w:r>
        <w:rPr>
          <w:color w:val="auto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，也可通过国家外汇管理局吉林省分局官方互联网站“咨询反馈——联系我们”栏目中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公布的电话进行。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通过国家外汇管理局政务服务网上办理系统提交申请的，可在该系统内进行查询。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（二十）监督投诉渠道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向国家外汇管理局咨询、监督投诉等可通过国家外汇管理局官方互联网站公众交流栏目进行。网址为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"http://www.safe.gov.cn/" </w:instrText>
      </w:r>
      <w:r>
        <w:rPr>
          <w:color w:val="auto"/>
        </w:rPr>
        <w:fldChar w:fldCharType="separate"/>
      </w:r>
      <w:r>
        <w:rPr>
          <w:rStyle w:val="16"/>
          <w:rFonts w:ascii="Times New Roman" w:hAnsi="Times New Roman" w:eastAsia="仿宋_GB2312" w:cs="Times New Roman"/>
          <w:color w:val="auto"/>
          <w:sz w:val="30"/>
          <w:szCs w:val="30"/>
        </w:rPr>
        <w:t>www.safe.gov.cn</w:t>
      </w:r>
      <w:r>
        <w:rPr>
          <w:color w:val="auto"/>
        </w:rPr>
        <w:fldChar w:fldCharType="end"/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向外汇局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吉林省分局及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分支机构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进行咨询、监督和投诉等可通过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国家外汇管理局吉林省分局官方互联网站“咨询反馈”栏目进行。网址为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"http://www.safe.gov.cn/jilin" </w:instrText>
      </w:r>
      <w:r>
        <w:rPr>
          <w:color w:val="auto"/>
        </w:rPr>
        <w:fldChar w:fldCharType="separate"/>
      </w:r>
      <w:r>
        <w:rPr>
          <w:rStyle w:val="16"/>
          <w:rFonts w:ascii="Times New Roman" w:hAnsi="Times New Roman" w:eastAsia="仿宋_GB2312" w:cs="Times New Roman"/>
          <w:color w:val="auto"/>
          <w:sz w:val="30"/>
          <w:szCs w:val="30"/>
        </w:rPr>
        <w:t>www.safe.gov.cn/jilin</w:t>
      </w:r>
      <w:r>
        <w:rPr>
          <w:color w:val="auto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，也可通过国家外汇管理局吉林省分局官方互联网站“咨询反馈——联系我们”栏目中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公布的电话进行。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（二十一）申请材料示范文本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无固定格式，但需要根据总行、分支机构提供不同的材料，有关内容要求详见（六）申请材料。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（二十二）常见问题解答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审批时限在20个工作日以内。但办理过程中所需的现场验收等，不计入时限。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（二十三）常见错误示例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申请材料不完全符合规定，例如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合作办理远期结售汇业务相关管理制度包含内容不全等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 w:firstLine="600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11430</wp:posOffset>
                </wp:positionV>
                <wp:extent cx="5838190" cy="5314950"/>
                <wp:effectExtent l="9525" t="4445" r="19685" b="14605"/>
                <wp:wrapNone/>
                <wp:docPr id="22" name="组合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190" cy="5314950"/>
                          <a:chOff x="1007" y="3330"/>
                          <a:chExt cx="9194" cy="8370"/>
                        </a:xfrm>
                      </wpg:grpSpPr>
                      <wps:wsp>
                        <wps:cNvPr id="4" name="自选图形 4"/>
                        <wps:cNvCnPr/>
                        <wps:spPr>
                          <a:xfrm>
                            <a:off x="5392" y="8652"/>
                            <a:ext cx="0" cy="4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自选图形 5"/>
                        <wps:cNvCnPr/>
                        <wps:spPr>
                          <a:xfrm>
                            <a:off x="6547" y="9623"/>
                            <a:ext cx="17" cy="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6"/>
                        <wps:cNvCnPr/>
                        <wps:spPr>
                          <a:xfrm>
                            <a:off x="4432" y="9623"/>
                            <a:ext cx="1" cy="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自选图形 7"/>
                        <wps:cNvCnPr/>
                        <wps:spPr>
                          <a:xfrm>
                            <a:off x="2612" y="6826"/>
                            <a:ext cx="0" cy="139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自选图形 8"/>
                        <wps:cNvCnPr/>
                        <wps:spPr>
                          <a:xfrm>
                            <a:off x="2612" y="8217"/>
                            <a:ext cx="82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4839" y="6389"/>
                            <a:ext cx="5362" cy="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依法不予受理的，作出不予受理决定，出具不予受理通知书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3433" y="8049"/>
                            <a:ext cx="410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依法应予受理，出具受理单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3434" y="9089"/>
                            <a:ext cx="4252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审查报批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433" y="10528"/>
                            <a:ext cx="1747" cy="1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予以许可，向申请人出具正式公文或备案表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5790" y="10528"/>
                            <a:ext cx="1747" cy="1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依法作出不予许可决定，并送达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自选图形 14"/>
                        <wps:cNvCnPr/>
                        <wps:spPr>
                          <a:xfrm>
                            <a:off x="2612" y="4693"/>
                            <a:ext cx="17" cy="14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15"/>
                        <wps:cNvCnPr/>
                        <wps:spPr>
                          <a:xfrm>
                            <a:off x="3570" y="5789"/>
                            <a:ext cx="1269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自选图形 16"/>
                        <wps:cNvCnPr/>
                        <wps:spPr>
                          <a:xfrm>
                            <a:off x="3667" y="6593"/>
                            <a:ext cx="117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自选图形 17"/>
                        <wps:cNvCnPr/>
                        <wps:spPr>
                          <a:xfrm flipV="1">
                            <a:off x="8191" y="5266"/>
                            <a:ext cx="0" cy="2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自选图形 18"/>
                        <wps:cNvCnPr/>
                        <wps:spPr>
                          <a:xfrm flipH="1">
                            <a:off x="2629" y="4981"/>
                            <a:ext cx="4643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自选图形 19"/>
                        <wps:cNvSpPr/>
                        <wps:spPr>
                          <a:xfrm>
                            <a:off x="1007" y="5267"/>
                            <a:ext cx="3274" cy="188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接件并当场（或5个工作日）作出是否受理决定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4839" y="5537"/>
                            <a:ext cx="5362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材料不全或不符合法定形式的，一次性告知补正材料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771" y="3330"/>
                            <a:ext cx="2662" cy="1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申请人以现场、邮寄、国家外汇管理局政务服务网上办理系统等提交材料提出书面申请，并提交材料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26" o:spid="_x0000_s1026" o:spt="203" style="position:absolute;left:0pt;margin-left:-39.65pt;margin-top:0.9pt;height:418.5pt;width:459.7pt;z-index:251662336;mso-width-relative:page;mso-height-relative:page;" coordorigin="1007,3330" coordsize="9194,8370" o:gfxdata="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">
                <o:lock v:ext="edit" position="f" selection="f" grouping="f" rotation="f" cropping="f" text="f" aspectratio="f"/>
                <v:shape id="自选图形 4" o:spid="_x0000_s1026" o:spt="32" type="#_x0000_t32" style="position:absolute;left:5392;top:8652;height:437;width:0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5" o:spid="_x0000_s1026" o:spt="32" type="#_x0000_t32" style="position:absolute;left:6547;top:9623;height:905;width:17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" o:spid="_x0000_s1026" o:spt="32" type="#_x0000_t32" style="position:absolute;left:4432;top:9623;height:905;width:1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" o:spid="_x0000_s1026" o:spt="32" type="#_x0000_t32" style="position:absolute;left:2612;top:6826;height:1391;width:0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8" o:spid="_x0000_s1026" o:spt="32" type="#_x0000_t32" style="position:absolute;left:2612;top:8217;height:0;width:822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839;top:6389;height:906;width:5362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依法不予受理的，作出不予受理决定，出具不予受理通知书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433;top:8049;height:603;width:4104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依法应予受理，出具受理单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434;top:9089;height:534;width:4252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审查报批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433;top:10528;height:1172;width:1747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予以许可，向申请人出具正式公文或备案表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5790;top:10528;height:1172;width:1747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依法作出不予许可决定，并送达</w:t>
                        </w:r>
                      </w:p>
                      <w:p/>
                    </w:txbxContent>
                  </v:textbox>
                </v:rect>
                <v:shape id="自选图形 14" o:spid="_x0000_s1026" o:spt="32" type="#_x0000_t32" style="position:absolute;left:2612;top:4693;height:1468;width:17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" o:spid="_x0000_s1026" o:spt="32" type="#_x0000_t32" style="position:absolute;left:3570;top:5789;height:1;width:1269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6" o:spid="_x0000_s1026" o:spt="32" type="#_x0000_t32" style="position:absolute;left:3667;top:6593;height:0;width:1172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7" o:spid="_x0000_s1026" o:spt="32" type="#_x0000_t32" style="position:absolute;left:8191;top:5266;flip:y;height:271;width:0;" filled="f" stroked="t" coordsize="21600,21600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8" o:spid="_x0000_s1026" o:spt="32" type="#_x0000_t32" style="position:absolute;left:2629;top:4981;flip:x;height:1;width:4643;" filled="f" stroked="t" coordsize="21600,21600" o:gfxdata="UEsDBAoAAAAAAIdO4kAAAAAAAAAAAAAAAAAEAAAAZHJzL1BLAwQUAAAACACHTuJAdYuwUr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Y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uw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9" o:spid="_x0000_s1026" o:spt="110" type="#_x0000_t110" style="position:absolute;left:1007;top:5267;height:1889;width:3274;" fillcolor="#FFFFFF" filled="t" stroked="t" coordsize="21600,21600" o:gfxdata="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F9K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接件并当场（或5个工作日）作出是否受理决定</w:t>
                        </w:r>
                      </w:p>
                      <w:p/>
                    </w:txbxContent>
                  </v:textbox>
                </v:shape>
                <v:rect id="_x0000_s1026" o:spid="_x0000_s1026" o:spt="1" style="position:absolute;left:4839;top:5537;height:500;width:536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材料不全或不符合法定形式的，一次性告知补正材料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771;top:3330;height:1363;width:266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34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申请人以现场、邮寄、国家外汇管理局政务服务网上办理系统等提交材料提出书面申请，并提交材料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735330</wp:posOffset>
                </wp:positionV>
                <wp:extent cx="1329690" cy="505460"/>
                <wp:effectExtent l="4445" t="5080" r="18415" b="22860"/>
                <wp:wrapNone/>
                <wp:docPr id="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273.6pt;margin-top:57.9pt;height:39.8pt;width:104.7pt;z-index:251661312;mso-width-relative:page;mso-height-relative:page;" fillcolor="#FFFFFF" filled="t" stroked="t" coordsize="21600,21600" o:gfxdata="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/bBT2QAAAAsBAAAPAAAAAAAAAAEAIAAAACIAAABkcnMvZG93bnJldi54bWxQSwECFAAUAAAACACH&#10;TuJA4MymH+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申请人补全材料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11430</wp:posOffset>
                </wp:positionV>
                <wp:extent cx="1690370" cy="865505"/>
                <wp:effectExtent l="5080" t="4445" r="19050" b="6350"/>
                <wp:wrapNone/>
                <wp:docPr id="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申请人以现场、邮寄、国家外汇管理局政务服务网上办理系统等提交材料提出书面申请，并提交材料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-1.45pt;margin-top:0.9pt;height:68.15pt;width:133.1pt;z-index:251660288;mso-width-relative:page;mso-height-relative:page;" fillcolor="#FFFFFF" filled="t" stroked="t" coordsize="21600,21600" o:gfxdata="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lRtAtYA&#10;AAAIAQAADwAAAAAAAAABACAAAAAiAAAAZHJzL2Rvd25yZXYueG1sUEsBAhQAFAAAAAgAh07iQDyO&#10;M8D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4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申请人以现场、邮寄、国家外汇管理局政务服务网上办理系统等提交材料提出书面申请，并提交材料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339090</wp:posOffset>
                </wp:positionV>
                <wp:extent cx="1329690" cy="505460"/>
                <wp:effectExtent l="4445" t="5080" r="18415" b="22860"/>
                <wp:wrapNone/>
                <wp:docPr id="1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73.6pt;margin-top:26.7pt;height:39.8pt;width:104.7pt;z-index:251659264;mso-width-relative:page;mso-height-relative:page;" fillcolor="#FFFFFF" filled="t" stroked="t" coordsize="21600,21600" o:gfxdata="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rl&#10;MTPYAAAACgEAAA8AAAAAAAAAAQAgAAAAIgAAAGRycy9kb3ducmV2LnhtbFBLAQIUABQAAAAIAIdO&#10;4kBhWLE4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申请人补全材料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300"/>
        <w:jc w:val="center"/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7673"/>
    <w:rsid w:val="1EE30895"/>
    <w:rsid w:val="28FB5515"/>
    <w:rsid w:val="2EB015AB"/>
    <w:rsid w:val="522D0967"/>
    <w:rsid w:val="69A00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eastAsia="仿宋_GB2312" w:cs="Times New Roman"/>
      <w:sz w:val="30"/>
      <w:szCs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7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qFormat/>
    <w:uiPriority w:val="99"/>
    <w:pPr>
      <w:jc w:val="left"/>
    </w:pPr>
    <w:rPr>
      <w:rFonts w:cs="Times New Roman"/>
    </w:rPr>
  </w:style>
  <w:style w:type="paragraph" w:styleId="7">
    <w:name w:val="Body Text"/>
    <w:basedOn w:val="1"/>
    <w:link w:val="42"/>
    <w:qFormat/>
    <w:uiPriority w:val="1"/>
    <w:pPr>
      <w:spacing w:before="190"/>
      <w:ind w:left="720"/>
      <w:jc w:val="left"/>
    </w:pPr>
    <w:rPr>
      <w:rFonts w:ascii="仿宋_GB2312" w:hAnsi="仿宋_GB2312" w:eastAsia="仿宋_GB2312" w:cs="Times New Roman"/>
      <w:kern w:val="0"/>
      <w:sz w:val="30"/>
      <w:szCs w:val="30"/>
      <w:lang w:eastAsia="en-US"/>
    </w:rPr>
  </w:style>
  <w:style w:type="paragraph" w:styleId="8">
    <w:name w:val="Balloon Text"/>
    <w:basedOn w:val="1"/>
    <w:link w:val="29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5"/>
    <w:semiHidden/>
    <w:qFormat/>
    <w:uiPriority w:val="0"/>
    <w:pPr>
      <w:snapToGrid w:val="0"/>
      <w:jc w:val="left"/>
    </w:pPr>
    <w:rPr>
      <w:kern w:val="2"/>
      <w:sz w:val="18"/>
      <w:szCs w:val="18"/>
    </w:rPr>
  </w:style>
  <w:style w:type="paragraph" w:styleId="12">
    <w:name w:val="HTML Preformatted"/>
    <w:basedOn w:val="1"/>
    <w:link w:val="3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basedOn w:val="15"/>
    <w:unhideWhenUsed/>
    <w:qFormat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7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styleId="18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character" w:customStyle="1" w:styleId="19">
    <w:name w:val="脚注文本 Char"/>
    <w:basedOn w:val="15"/>
    <w:semiHidden/>
    <w:qFormat/>
    <w:uiPriority w:val="99"/>
    <w:rPr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juzho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27">
    <w:name w:val="页眉 Char Char"/>
    <w:basedOn w:val="15"/>
    <w:link w:val="10"/>
    <w:qFormat/>
    <w:uiPriority w:val="99"/>
    <w:rPr>
      <w:sz w:val="18"/>
      <w:szCs w:val="18"/>
    </w:rPr>
  </w:style>
  <w:style w:type="character" w:customStyle="1" w:styleId="28">
    <w:name w:val="页脚 Char Char"/>
    <w:basedOn w:val="15"/>
    <w:link w:val="9"/>
    <w:uiPriority w:val="99"/>
    <w:rPr>
      <w:sz w:val="18"/>
      <w:szCs w:val="18"/>
    </w:rPr>
  </w:style>
  <w:style w:type="character" w:customStyle="1" w:styleId="29">
    <w:name w:val="批注框文本 Char Char"/>
    <w:basedOn w:val="15"/>
    <w:link w:val="8"/>
    <w:uiPriority w:val="0"/>
    <w:rPr>
      <w:sz w:val="18"/>
      <w:szCs w:val="18"/>
    </w:rPr>
  </w:style>
  <w:style w:type="character" w:customStyle="1" w:styleId="30">
    <w:name w:val="HTML 预设格式 Char Char"/>
    <w:basedOn w:val="15"/>
    <w:link w:val="12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32">
    <w:name w:val="标题 1 Char Char"/>
    <w:basedOn w:val="15"/>
    <w:link w:val="2"/>
    <w:qFormat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 Char"/>
    <w:basedOn w:val="15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 Char"/>
    <w:basedOn w:val="15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1"/>
    <w:basedOn w:val="15"/>
    <w:link w:val="11"/>
    <w:uiPriority w:val="0"/>
    <w:rPr>
      <w:rFonts w:ascii="Times New Roman" w:hAnsi="Times New Roman"/>
      <w:sz w:val="18"/>
      <w:szCs w:val="18"/>
    </w:rPr>
  </w:style>
  <w:style w:type="character" w:customStyle="1" w:styleId="36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7">
    <w:name w:val="文档结构图 Char Char"/>
    <w:basedOn w:val="15"/>
    <w:link w:val="5"/>
    <w:qFormat/>
    <w:uiPriority w:val="0"/>
    <w:rPr>
      <w:rFonts w:ascii="宋体"/>
      <w:sz w:val="18"/>
      <w:szCs w:val="18"/>
    </w:rPr>
  </w:style>
  <w:style w:type="character" w:customStyle="1" w:styleId="38">
    <w:name w:val="批注文字 Char1"/>
    <w:basedOn w:val="15"/>
    <w:semiHidden/>
    <w:qFormat/>
    <w:uiPriority w:val="99"/>
    <w:rPr>
      <w:kern w:val="2"/>
      <w:sz w:val="21"/>
      <w:szCs w:val="22"/>
    </w:rPr>
  </w:style>
  <w:style w:type="character" w:customStyle="1" w:styleId="39">
    <w:name w:val="明显强调1"/>
    <w:basedOn w:val="15"/>
    <w:qFormat/>
    <w:uiPriority w:val="21"/>
    <w:rPr>
      <w:b/>
      <w:bCs/>
      <w:i/>
      <w:iCs/>
      <w:color w:val="4F81BD"/>
    </w:rPr>
  </w:style>
  <w:style w:type="character" w:customStyle="1" w:styleId="40">
    <w:name w:val="文档结构图 Char1"/>
    <w:basedOn w:val="15"/>
    <w:semiHidden/>
    <w:qFormat/>
    <w:uiPriority w:val="99"/>
    <w:rPr>
      <w:rFonts w:ascii="宋体" w:eastAsia="宋体"/>
      <w:sz w:val="18"/>
      <w:szCs w:val="18"/>
    </w:rPr>
  </w:style>
  <w:style w:type="character" w:customStyle="1" w:styleId="41">
    <w:name w:val="脚注文本 Char2"/>
    <w:basedOn w:val="15"/>
    <w:semiHidden/>
    <w:qFormat/>
    <w:uiPriority w:val="99"/>
    <w:rPr>
      <w:sz w:val="18"/>
      <w:szCs w:val="18"/>
    </w:rPr>
  </w:style>
  <w:style w:type="character" w:customStyle="1" w:styleId="42">
    <w:name w:val="正文文本 Char Char"/>
    <w:basedOn w:val="15"/>
    <w:link w:val="7"/>
    <w:qFormat/>
    <w:uiPriority w:val="1"/>
    <w:rPr>
      <w:rFonts w:ascii="仿宋_GB2312" w:hAnsi="仿宋_GB2312" w:eastAsia="仿宋_GB2312" w:cs="Times New Roman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410</Words>
  <Characters>2339</Characters>
  <Lines>19</Lines>
  <Paragraphs>5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裴建君2</dc:creator>
  <cp:lastModifiedBy>收支文件管理员/收支处/长春/PBC</cp:lastModifiedBy>
  <cp:lastPrinted>2020-05-08T01:02:00Z</cp:lastPrinted>
  <dcterms:modified xsi:type="dcterms:W3CDTF">2023-09-01T09:16:26Z</dcterms:modified>
  <dc:title>编号：57013               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