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00"/>
        <w:rPr>
          <w:rFonts w:ascii="Times New Roman" w:hAnsi="Times New Roman" w:eastAsia="黑体" w:cs="Times New Roman"/>
          <w:sz w:val="48"/>
          <w:szCs w:val="48"/>
        </w:rPr>
      </w:pPr>
      <w:r>
        <w:rPr>
          <w:rFonts w:ascii="Times New Roman" w:hAnsi="Times New Roman" w:eastAsia="黑体" w:cs="Times New Roman"/>
          <w:sz w:val="48"/>
          <w:szCs w:val="48"/>
        </w:rPr>
        <w:t>编号：57013</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drawing>
          <wp:inline distT="0" distB="0" distL="114300" distR="114300">
            <wp:extent cx="1105535" cy="882650"/>
            <wp:effectExtent l="0" t="0" r="18415" b="12700"/>
            <wp:docPr id="21" name="图片框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框 1046"/>
                    <pic:cNvPicPr>
                      <a:picLocks noChangeAspect="1"/>
                    </pic:cNvPicPr>
                  </pic:nvPicPr>
                  <pic:blipFill>
                    <a:blip r:embed="rId6">
                      <a:lum/>
                    </a:blip>
                    <a:stretch>
                      <a:fillRect/>
                    </a:stretch>
                  </pic:blipFill>
                  <pic:spPr>
                    <a:xfrm>
                      <a:off x="0" y="0"/>
                      <a:ext cx="1105535" cy="882650"/>
                    </a:xfrm>
                    <a:prstGeom prst="rect">
                      <a:avLst/>
                    </a:prstGeom>
                    <a:noFill/>
                    <a:ln>
                      <a:noFill/>
                    </a:ln>
                  </pic:spPr>
                </pic:pic>
              </a:graphicData>
            </a:graphic>
          </wp:inline>
        </w:drawing>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“银行、农村信用社、兑换机构及非金融机构等结汇、售汇业务市场准入、退出审批”行政审批</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hint="eastAsia" w:ascii="Times New Roman" w:hAnsi="Times New Roman" w:eastAsia="仿宋_GB2312" w:cs="Times New Roman"/>
          <w:sz w:val="30"/>
          <w:szCs w:val="30"/>
        </w:rPr>
      </w:pPr>
    </w:p>
    <w:p>
      <w:pPr>
        <w:ind w:right="300"/>
        <w:jc w:val="center"/>
        <w:rPr>
          <w:rFonts w:hint="eastAsia"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rPr>
        <w:t>吉林省分局</w: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sectPr>
          <w:footerReference r:id="rId3"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一、项目信息</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项目名称：银行、农村信用社、兑换机构及非金融机构等结汇、售汇业务市场准入、退出审批；</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项目编号：57013；</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本指南适用于“银行、农村信用社、兑换机构及非金融机构等结汇、售汇业务市场准入、退出审批”的申请和办理。</w:t>
      </w:r>
    </w:p>
    <w:p>
      <w:pPr>
        <w:tabs>
          <w:tab w:val="left" w:pos="3718"/>
        </w:tabs>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r>
        <w:rPr>
          <w:rFonts w:ascii="Times New Roman" w:hAnsi="Times New Roman" w:eastAsia="黑体" w:cs="Times New Roman"/>
          <w:sz w:val="30"/>
          <w:szCs w:val="30"/>
        </w:rPr>
        <w:tab/>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二十四条：“金融机构经营或者终止经营结汇、售汇业务，应当经外汇管理机关批准；经营或者终止经营其他外汇业务，应当按照职责分工经外汇管理机关或者金融业监督管理机构批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（二）《中华人民共和国外汇管理条例》（国务院令第532号）第五十三条：“非金融机构经营结汇、售汇业务，应当由国务院外汇管理部门批准，具体管理办法由国务院外汇管理部门另行制定”。</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四、银行（含农村信用社）人民币与外汇衍生产品业务市场准入</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2.《银行办理结售汇业务管理办法》（中国人民银行令</w:t>
      </w:r>
      <w:r>
        <w:rPr>
          <w:rFonts w:hint="eastAsia" w:ascii="Times New Roman" w:hAnsi="Times New Roman" w:eastAsia="仿宋_GB2312" w:cs="Times New Roman"/>
          <w:sz w:val="30"/>
          <w:szCs w:val="30"/>
        </w:rPr>
        <w:t>〔2014〕</w:t>
      </w:r>
      <w:r>
        <w:rPr>
          <w:rFonts w:ascii="Times New Roman" w:hAnsi="Times New Roman" w:eastAsia="仿宋_GB2312" w:cs="Times New Roman"/>
          <w:sz w:val="30"/>
          <w:szCs w:val="30"/>
        </w:rPr>
        <w:t>第2号）；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3.《国家外汇管理局关于印发〈银行办理结售汇业务管理办法实施细则〉的通知》（汇发</w:t>
      </w:r>
      <w:r>
        <w:rPr>
          <w:rFonts w:hint="eastAsia" w:ascii="Times New Roman" w:hAnsi="Times New Roman" w:eastAsia="仿宋_GB2312" w:cs="Times New Roman"/>
          <w:sz w:val="30"/>
          <w:szCs w:val="30"/>
        </w:rPr>
        <w:t>〔2014〕</w:t>
      </w:r>
      <w:r>
        <w:rPr>
          <w:rFonts w:ascii="Times New Roman" w:hAnsi="Times New Roman" w:eastAsia="仿宋_GB2312" w:cs="Times New Roman"/>
          <w:sz w:val="30"/>
          <w:szCs w:val="30"/>
        </w:rPr>
        <w:t>53号）。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仅适用于总行。</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政策性银行、全国性商业银行向国家外汇管理局申请；其他</w:t>
      </w:r>
      <w:r>
        <w:rPr>
          <w:rFonts w:hint="eastAsia" w:ascii="Times New Roman" w:hAnsi="Times New Roman" w:eastAsia="仿宋_GB2312" w:cs="Times New Roman"/>
          <w:sz w:val="30"/>
          <w:szCs w:val="30"/>
        </w:rPr>
        <w:t>所在地在吉林省的</w:t>
      </w:r>
      <w:r>
        <w:rPr>
          <w:rFonts w:ascii="Times New Roman" w:hAnsi="Times New Roman" w:eastAsia="仿宋_GB2312" w:cs="Times New Roman"/>
          <w:sz w:val="30"/>
          <w:szCs w:val="30"/>
        </w:rPr>
        <w:t>银行向</w:t>
      </w:r>
      <w:r>
        <w:rPr>
          <w:rFonts w:hint="eastAsia" w:ascii="Times New Roman" w:hAnsi="Times New Roman" w:eastAsia="仿宋_GB2312" w:cs="Times New Roman"/>
          <w:sz w:val="30"/>
          <w:szCs w:val="30"/>
        </w:rPr>
        <w:t>国家外汇管理局吉林省分局</w:t>
      </w:r>
      <w:r>
        <w:rPr>
          <w:rFonts w:ascii="Times New Roman" w:hAnsi="Times New Roman" w:eastAsia="仿宋_GB2312" w:cs="Times New Roman"/>
          <w:sz w:val="30"/>
          <w:szCs w:val="30"/>
        </w:rPr>
        <w:t>申请，如处于市（地、州、区）、县，应向所在地国家外汇管理局</w:t>
      </w:r>
      <w:r>
        <w:rPr>
          <w:rFonts w:hint="eastAsia" w:ascii="Times New Roman" w:hAnsi="Times New Roman" w:eastAsia="仿宋_GB2312" w:cs="Times New Roman"/>
          <w:sz w:val="30"/>
          <w:szCs w:val="30"/>
          <w:lang w:eastAsia="zh-CN"/>
        </w:rPr>
        <w:t>分支机构</w:t>
      </w:r>
      <w:r>
        <w:rPr>
          <w:rFonts w:ascii="Times New Roman" w:hAnsi="Times New Roman" w:eastAsia="仿宋_GB2312" w:cs="Times New Roman"/>
          <w:sz w:val="30"/>
          <w:szCs w:val="30"/>
        </w:rPr>
        <w:t>申请，并逐级上报至</w:t>
      </w:r>
      <w:r>
        <w:rPr>
          <w:rFonts w:hint="eastAsia" w:ascii="Times New Roman" w:hAnsi="Times New Roman" w:eastAsia="仿宋_GB2312" w:cs="Times New Roman"/>
          <w:sz w:val="30"/>
          <w:szCs w:val="30"/>
        </w:rPr>
        <w:t>国家外汇管理局吉林省分</w:t>
      </w:r>
      <w:bookmarkStart w:id="0" w:name="_GoBack"/>
      <w:bookmarkEnd w:id="0"/>
      <w:r>
        <w:rPr>
          <w:rFonts w:hint="eastAsia" w:ascii="Times New Roman" w:hAnsi="Times New Roman" w:eastAsia="仿宋_GB2312" w:cs="Times New Roman"/>
          <w:sz w:val="30"/>
          <w:szCs w:val="30"/>
        </w:rPr>
        <w:t>局</w:t>
      </w:r>
      <w:r>
        <w:rPr>
          <w:rFonts w:ascii="Times New Roman" w:hAnsi="Times New Roman" w:eastAsia="仿宋_GB2312" w:cs="Times New Roman"/>
          <w:sz w:val="30"/>
          <w:szCs w:val="30"/>
        </w:rPr>
        <w:t>。外国银行分行视同总行管理。</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所在地在吉林省的</w:t>
      </w:r>
      <w:r>
        <w:rPr>
          <w:rFonts w:ascii="Times New Roman" w:hAnsi="Times New Roman" w:eastAsia="仿宋_GB2312" w:cs="Times New Roman"/>
          <w:sz w:val="30"/>
          <w:szCs w:val="30"/>
        </w:rPr>
        <w:t>银行决定机构为</w:t>
      </w:r>
      <w:r>
        <w:rPr>
          <w:rFonts w:hint="eastAsia" w:ascii="Times New Roman" w:hAnsi="Times New Roman" w:eastAsia="仿宋_GB2312" w:cs="Times New Roman"/>
          <w:sz w:val="30"/>
          <w:szCs w:val="30"/>
        </w:rPr>
        <w:t>国家外汇管理局吉林省分局</w:t>
      </w:r>
      <w:r>
        <w:rPr>
          <w:rFonts w:ascii="Times New Roman" w:hAnsi="Times New Roman" w:eastAsia="仿宋_GB2312" w:cs="Times New Roman"/>
          <w:sz w:val="30"/>
          <w:szCs w:val="30"/>
        </w:rPr>
        <w:t>。外国银行分行视同总行管理。</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申请人需同时符合以下条件：</w:t>
      </w:r>
    </w:p>
    <w:p>
      <w:pPr>
        <w:pStyle w:val="13"/>
        <w:widowControl w:val="0"/>
        <w:adjustRightInd w:val="0"/>
        <w:snapToGrid w:val="0"/>
        <w:spacing w:before="0" w:beforeAutospacing="0" w:after="0" w:afterAutospacing="0" w:line="360" w:lineRule="auto"/>
        <w:ind w:firstLine="600" w:firstLineChars="2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ascii="Times New Roman" w:hAnsi="Times New Roman" w:eastAsia="仿宋_GB2312" w:cs="Times New Roman"/>
          <w:kern w:val="2"/>
          <w:sz w:val="30"/>
          <w:szCs w:val="30"/>
        </w:rPr>
        <w:t>取得即期结售汇业务资格。</w:t>
      </w:r>
    </w:p>
    <w:p>
      <w:pPr>
        <w:pStyle w:val="13"/>
        <w:widowControl w:val="0"/>
        <w:adjustRightInd w:val="0"/>
        <w:snapToGrid w:val="0"/>
        <w:spacing w:before="0" w:beforeAutospacing="0" w:after="0" w:afterAutospacing="0" w:line="360" w:lineRule="auto"/>
        <w:ind w:firstLine="600" w:firstLineChars="200"/>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2.有健全的衍生产品交易风险管理制度和内部控制制度及适当的风险识别、计量、管理和交易系统，配备开展衍生产品业务所需要的专业人员。</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3.符合银行业监督管理部门有关金融衍生产品交易业务资格的规定。</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Style w:val="14"/>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960"/>
        <w:gridCol w:w="457"/>
        <w:gridCol w:w="851"/>
        <w:gridCol w:w="2977"/>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1276"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6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297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06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2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申请报告、可行性报告及业务计划书</w:t>
            </w:r>
          </w:p>
        </w:tc>
        <w:tc>
          <w:tcPr>
            <w:tcW w:w="96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977" w:type="dxa"/>
            <w:vAlign w:val="center"/>
          </w:tcPr>
          <w:p>
            <w:pPr>
              <w:jc w:val="left"/>
              <w:rPr>
                <w:rFonts w:ascii="Times New Roman" w:hAnsi="Times New Roman" w:eastAsia="仿宋_GB2312" w:cs="Times New Roman"/>
                <w:b/>
                <w:bCs/>
                <w:kern w:val="44"/>
                <w:sz w:val="24"/>
                <w:szCs w:val="24"/>
              </w:rPr>
            </w:pPr>
          </w:p>
        </w:tc>
        <w:tc>
          <w:tcPr>
            <w:tcW w:w="1064" w:type="dxa"/>
            <w:vAlign w:val="center"/>
          </w:tcPr>
          <w:p>
            <w:pPr>
              <w:jc w:val="left"/>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2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衍生产品业务内部管理规章制度</w:t>
            </w:r>
          </w:p>
        </w:tc>
        <w:tc>
          <w:tcPr>
            <w:tcW w:w="96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应当至少包括以下内容：</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1．业务操作规程，包括交易受理、客户评估、单证审核等业务流程和操作标准；2．产品定价模型，包括定价方法和各项参数的选取标准及来源；</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3．风险管理制度，包括风险管理架构、风险模型指标及量化管理指标、风险缓释措施、头寸平盘机制；</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4．会计核算制度，包括科目设置和会计核算方法；</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5．统计报告制度，包括数据采集渠道和操作程序。</w:t>
            </w:r>
          </w:p>
        </w:tc>
        <w:tc>
          <w:tcPr>
            <w:tcW w:w="106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银行应当根据拟开办各类衍生产品业务的实际特征，提交具有针对性与适用性的文件和资料。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2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主管人员和主要交易人员名单、履历。</w:t>
            </w:r>
          </w:p>
        </w:tc>
        <w:tc>
          <w:tcPr>
            <w:tcW w:w="96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977" w:type="dxa"/>
            <w:vAlign w:val="center"/>
          </w:tcPr>
          <w:p>
            <w:pPr>
              <w:jc w:val="center"/>
              <w:rPr>
                <w:rFonts w:ascii="Times New Roman" w:hAnsi="Times New Roman" w:eastAsia="仿宋_GB2312" w:cs="Times New Roman"/>
                <w:b/>
                <w:bCs/>
                <w:kern w:val="44"/>
                <w:sz w:val="24"/>
                <w:szCs w:val="24"/>
              </w:rPr>
            </w:pPr>
          </w:p>
        </w:tc>
        <w:tc>
          <w:tcPr>
            <w:tcW w:w="1064" w:type="dxa"/>
            <w:vAlign w:val="center"/>
          </w:tcPr>
          <w:p>
            <w:pPr>
              <w:jc w:val="center"/>
              <w:rPr>
                <w:rFonts w:ascii="Times New Roman" w:hAnsi="Times New Roman" w:eastAsia="仿宋_GB2312" w:cs="Times New Roman"/>
                <w:b/>
                <w:bCs/>
                <w:kern w:val="4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2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符合银行业监督管理部门有关金融衍生产品交易业务资格规定的证明文件。</w:t>
            </w:r>
          </w:p>
        </w:tc>
        <w:tc>
          <w:tcPr>
            <w:tcW w:w="96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w:t>
            </w:r>
            <w:r>
              <w:rPr>
                <w:rFonts w:hint="eastAsia" w:ascii="Times New Roman" w:hAnsi="Times New Roman" w:eastAsia="仿宋_GB2312" w:cs="Times New Roman"/>
                <w:sz w:val="24"/>
                <w:szCs w:val="24"/>
              </w:rPr>
              <w:t>银行</w:t>
            </w:r>
            <w:r>
              <w:rPr>
                <w:rFonts w:ascii="Times New Roman" w:hAnsi="Times New Roman" w:eastAsia="仿宋_GB2312" w:cs="Times New Roman"/>
                <w:sz w:val="24"/>
                <w:szCs w:val="24"/>
              </w:rPr>
              <w:t>公章的复印件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2977" w:type="dxa"/>
            <w:vAlign w:val="center"/>
          </w:tcPr>
          <w:p>
            <w:pPr>
              <w:jc w:val="center"/>
              <w:rPr>
                <w:rFonts w:ascii="Times New Roman" w:hAnsi="Times New Roman" w:eastAsia="仿宋_GB2312" w:cs="Times New Roman"/>
                <w:b/>
                <w:bCs/>
                <w:kern w:val="44"/>
                <w:sz w:val="24"/>
                <w:szCs w:val="24"/>
              </w:rPr>
            </w:pPr>
          </w:p>
        </w:tc>
        <w:tc>
          <w:tcPr>
            <w:tcW w:w="1064" w:type="dxa"/>
            <w:vAlign w:val="center"/>
          </w:tcPr>
          <w:p>
            <w:pPr>
              <w:jc w:val="center"/>
              <w:rPr>
                <w:rFonts w:ascii="Times New Roman" w:hAnsi="Times New Roman" w:eastAsia="仿宋_GB2312" w:cs="Times New Roman"/>
                <w:b/>
                <w:bCs/>
                <w:kern w:val="44"/>
                <w:sz w:val="24"/>
                <w:szCs w:val="24"/>
              </w:rPr>
            </w:pPr>
          </w:p>
        </w:tc>
      </w:tr>
    </w:tbl>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申请人可通过窗口、邮寄</w:t>
      </w:r>
      <w:r>
        <w:rPr>
          <w:rFonts w:hint="eastAsia" w:ascii="Times New Roman" w:hAnsi="Times New Roman" w:eastAsia="仿宋_GB2312" w:cs="Times New Roman"/>
          <w:sz w:val="30"/>
          <w:szCs w:val="30"/>
        </w:rPr>
        <w:t>、国家外汇管理局政务服务网上办理系统</w:t>
      </w:r>
      <w:r>
        <w:rPr>
          <w:rFonts w:ascii="Times New Roman" w:hAnsi="Times New Roman" w:eastAsia="仿宋_GB2312" w:cs="Times New Roman"/>
          <w:sz w:val="30"/>
          <w:szCs w:val="30"/>
        </w:rPr>
        <w:t>等方式提交材料。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3.不予受理的，出具不予受理通知书；受理的，出具受理通知书，进行审查报批；</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4.不予许可的，出具不予许可通知书。许可的，向申请人出具正式公文或备案通知书。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5.材料不全或不符合法定形式的，一次性告知补正材料，并出具《行政许可补正通知书》。</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一般程序：申请、受理、审查、出具正式公文或备案通知书。</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20个工作日。</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正式公文或备案通知书。</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通过现场告知或电话通知申请人，并通过现场领取或邮寄方式将结果送达。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（十五）事项审查类型</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前审后批</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（十六）办公地址和时间</w:t>
      </w:r>
    </w:p>
    <w:p>
      <w:pPr>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该项行政许可具体由国家外汇管理局</w:t>
      </w:r>
      <w:r>
        <w:rPr>
          <w:rFonts w:hint="eastAsia" w:ascii="Times New Roman" w:hAnsi="Times New Roman" w:eastAsia="仿宋_GB2312"/>
          <w:sz w:val="30"/>
          <w:szCs w:val="30"/>
          <w:lang w:eastAsia="zh-CN"/>
        </w:rPr>
        <w:t>吉林省分局及分支机构</w:t>
      </w:r>
      <w:r>
        <w:rPr>
          <w:rFonts w:ascii="Times New Roman" w:hAnsi="Times New Roman" w:eastAsia="仿宋_GB2312"/>
          <w:sz w:val="30"/>
          <w:szCs w:val="30"/>
        </w:rPr>
        <w:t>办理，</w:t>
      </w:r>
      <w:r>
        <w:rPr>
          <w:rFonts w:hint="eastAsia" w:ascii="Times New Roman" w:hAnsi="Times New Roman" w:eastAsia="仿宋_GB2312"/>
          <w:sz w:val="30"/>
          <w:szCs w:val="30"/>
        </w:rPr>
        <w:t>国家外汇管理局吉林省</w:t>
      </w:r>
      <w:r>
        <w:rPr>
          <w:rFonts w:hint="eastAsia" w:ascii="Times New Roman" w:hAnsi="Times New Roman" w:eastAsia="仿宋_GB2312"/>
          <w:sz w:val="30"/>
          <w:szCs w:val="30"/>
          <w:lang w:eastAsia="zh-CN"/>
        </w:rPr>
        <w:t>分局及分支机构</w:t>
      </w:r>
      <w:r>
        <w:rPr>
          <w:rFonts w:hint="eastAsia" w:ascii="Times New Roman" w:hAnsi="Times New Roman" w:eastAsia="仿宋_GB2312"/>
          <w:sz w:val="30"/>
          <w:szCs w:val="30"/>
        </w:rPr>
        <w:t>的</w:t>
      </w:r>
      <w:r>
        <w:rPr>
          <w:rFonts w:ascii="Times New Roman" w:hAnsi="Times New Roman" w:eastAsia="仿宋_GB2312"/>
          <w:sz w:val="30"/>
          <w:szCs w:val="30"/>
        </w:rPr>
        <w:t>办公地址和办公时间见</w:t>
      </w:r>
      <w:r>
        <w:rPr>
          <w:rFonts w:hint="eastAsia" w:ascii="Times New Roman" w:hAnsi="Times New Roman" w:eastAsia="仿宋_GB2312"/>
          <w:sz w:val="30"/>
          <w:szCs w:val="30"/>
        </w:rPr>
        <w:t>国家外汇管理局吉林省分局官方互联网站“咨询反馈——联系我们”栏目。</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（十七）禁止性要求</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如符合上述条件，不存在不予许可的情况。</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（十八）咨询途径</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电话、电子邮件、网址</w:t>
      </w:r>
    </w:p>
    <w:p>
      <w:pPr>
        <w:adjustRightInd w:val="0"/>
        <w:snapToGrid w:val="0"/>
        <w:spacing w:line="360" w:lineRule="auto"/>
        <w:ind w:firstLine="601"/>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t>（十九）办理进程和结果公开查询</w:t>
      </w:r>
    </w:p>
    <w:p>
      <w:pPr>
        <w:adjustRightInd w:val="0"/>
        <w:snapToGrid w:val="0"/>
        <w:spacing w:line="360" w:lineRule="auto"/>
        <w:ind w:firstLine="601"/>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向外汇局</w:t>
      </w:r>
      <w:r>
        <w:rPr>
          <w:rFonts w:hint="eastAsia" w:ascii="Times New Roman" w:hAnsi="Times New Roman" w:eastAsia="仿宋_GB2312" w:cs="Times New Roman"/>
          <w:color w:val="auto"/>
          <w:sz w:val="30"/>
          <w:szCs w:val="30"/>
        </w:rPr>
        <w:t>吉林省分局及</w:t>
      </w:r>
      <w:r>
        <w:rPr>
          <w:rFonts w:hint="eastAsia" w:ascii="Times New Roman" w:hAnsi="Times New Roman" w:eastAsia="仿宋_GB2312" w:cs="Times New Roman"/>
          <w:color w:val="auto"/>
          <w:sz w:val="30"/>
          <w:szCs w:val="30"/>
          <w:lang w:eastAsia="zh-CN"/>
        </w:rPr>
        <w:t>分支机构</w:t>
      </w:r>
      <w:r>
        <w:rPr>
          <w:rFonts w:ascii="Times New Roman" w:hAnsi="Times New Roman" w:eastAsia="仿宋_GB2312" w:cs="Times New Roman"/>
          <w:color w:val="auto"/>
          <w:sz w:val="30"/>
          <w:szCs w:val="30"/>
        </w:rPr>
        <w:t>进行咨询、进程查询、监督和投诉</w:t>
      </w:r>
      <w:r>
        <w:rPr>
          <w:rFonts w:ascii="Times New Roman" w:hAnsi="Times New Roman" w:eastAsia="仿宋_GB2312" w:cs="Times New Roman"/>
          <w:color w:val="auto"/>
          <w:sz w:val="30"/>
          <w:szCs w:val="30"/>
          <w:highlight w:val="none"/>
        </w:rPr>
        <w:t>等</w:t>
      </w:r>
      <w:r>
        <w:rPr>
          <w:rFonts w:hint="eastAsia" w:ascii="Times New Roman" w:hAnsi="Times New Roman" w:eastAsia="仿宋_GB2312" w:cs="Times New Roman"/>
          <w:color w:val="auto"/>
          <w:sz w:val="30"/>
          <w:szCs w:val="30"/>
          <w:highlight w:val="none"/>
        </w:rPr>
        <w:t>可通过国</w:t>
      </w:r>
      <w:r>
        <w:rPr>
          <w:rFonts w:hint="eastAsia" w:ascii="Times New Roman" w:hAnsi="Times New Roman" w:eastAsia="仿宋_GB2312" w:cs="Times New Roman"/>
          <w:color w:val="auto"/>
          <w:sz w:val="30"/>
          <w:szCs w:val="30"/>
        </w:rPr>
        <w:t>家外汇管理局吉林省分局官方互联网站“咨询反馈”栏目进行。网址为</w:t>
      </w:r>
      <w:r>
        <w:rPr>
          <w:color w:val="auto"/>
        </w:rPr>
        <w:fldChar w:fldCharType="begin"/>
      </w:r>
      <w:r>
        <w:rPr>
          <w:color w:val="auto"/>
        </w:rPr>
        <w:instrText xml:space="preserve">HYPERLINK "http://www.safe.gov.cn/jilin" </w:instrText>
      </w:r>
      <w:r>
        <w:rPr>
          <w:color w:val="auto"/>
        </w:rPr>
        <w:fldChar w:fldCharType="separate"/>
      </w:r>
      <w:r>
        <w:rPr>
          <w:rStyle w:val="16"/>
          <w:rFonts w:ascii="Times New Roman" w:hAnsi="Times New Roman" w:eastAsia="仿宋_GB2312" w:cs="Times New Roman"/>
          <w:color w:val="auto"/>
          <w:sz w:val="30"/>
          <w:szCs w:val="30"/>
        </w:rPr>
        <w:t>www.safe.gov.cn/jilin</w:t>
      </w:r>
      <w:r>
        <w:rPr>
          <w:color w:val="auto"/>
        </w:rPr>
        <w:fldChar w:fldCharType="end"/>
      </w:r>
      <w:r>
        <w:rPr>
          <w:rFonts w:hint="eastAsia" w:ascii="Times New Roman" w:hAnsi="Times New Roman" w:eastAsia="仿宋_GB2312" w:cs="Times New Roman"/>
          <w:color w:val="auto"/>
          <w:sz w:val="30"/>
          <w:szCs w:val="30"/>
        </w:rPr>
        <w:t>，也可通过国家外汇管理局吉林省分局官方互联网站“咨询反馈——联系我们”栏目中</w:t>
      </w:r>
      <w:r>
        <w:rPr>
          <w:rFonts w:ascii="Times New Roman" w:hAnsi="Times New Roman" w:eastAsia="仿宋_GB2312" w:cs="Times New Roman"/>
          <w:color w:val="auto"/>
          <w:sz w:val="30"/>
          <w:szCs w:val="30"/>
        </w:rPr>
        <w:t>公布的电话进行。</w:t>
      </w:r>
    </w:p>
    <w:p>
      <w:pPr>
        <w:adjustRightInd w:val="0"/>
        <w:snapToGrid w:val="0"/>
        <w:spacing w:line="360" w:lineRule="auto"/>
        <w:ind w:firstLine="601"/>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通过国家外汇管理局政务服务网上办理系统提交申请的，可在该系统内进行查询。</w:t>
      </w:r>
    </w:p>
    <w:p>
      <w:pPr>
        <w:adjustRightInd w:val="0"/>
        <w:snapToGrid w:val="0"/>
        <w:spacing w:line="360" w:lineRule="auto"/>
        <w:ind w:firstLine="601"/>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t>（二十）监督投诉渠道</w:t>
      </w:r>
    </w:p>
    <w:p>
      <w:pPr>
        <w:adjustRightInd w:val="0"/>
        <w:snapToGrid w:val="0"/>
        <w:spacing w:line="360" w:lineRule="auto"/>
        <w:ind w:firstLine="601"/>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向国家外汇管理局咨询、监督投诉等可通过国家外汇管理局官方互联网站公众交流栏目进行。网址为</w:t>
      </w:r>
      <w:r>
        <w:rPr>
          <w:color w:val="auto"/>
        </w:rPr>
        <w:fldChar w:fldCharType="begin"/>
      </w:r>
      <w:r>
        <w:rPr>
          <w:color w:val="auto"/>
        </w:rPr>
        <w:instrText xml:space="preserve">HYPERLINK "http://www.safe.gov.cn/" </w:instrText>
      </w:r>
      <w:r>
        <w:rPr>
          <w:color w:val="auto"/>
        </w:rPr>
        <w:fldChar w:fldCharType="separate"/>
      </w:r>
      <w:r>
        <w:rPr>
          <w:rStyle w:val="16"/>
          <w:rFonts w:ascii="Times New Roman" w:hAnsi="Times New Roman" w:eastAsia="仿宋_GB2312" w:cs="Times New Roman"/>
          <w:color w:val="auto"/>
          <w:sz w:val="30"/>
          <w:szCs w:val="30"/>
        </w:rPr>
        <w:t>www.safe.gov.cn</w:t>
      </w:r>
      <w:r>
        <w:rPr>
          <w:color w:val="auto"/>
        </w:rPr>
        <w:fldChar w:fldCharType="end"/>
      </w:r>
      <w:r>
        <w:rPr>
          <w:rFonts w:ascii="Times New Roman" w:hAnsi="Times New Roman" w:eastAsia="仿宋_GB2312" w:cs="Times New Roman"/>
          <w:color w:val="auto"/>
          <w:sz w:val="30"/>
          <w:szCs w:val="30"/>
        </w:rPr>
        <w:t>。</w:t>
      </w:r>
    </w:p>
    <w:p>
      <w:pPr>
        <w:adjustRightInd w:val="0"/>
        <w:snapToGrid w:val="0"/>
        <w:spacing w:line="360" w:lineRule="auto"/>
        <w:ind w:firstLine="601"/>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向外汇局</w:t>
      </w:r>
      <w:r>
        <w:rPr>
          <w:rFonts w:hint="eastAsia" w:ascii="Times New Roman" w:hAnsi="Times New Roman" w:eastAsia="仿宋_GB2312" w:cs="Times New Roman"/>
          <w:color w:val="auto"/>
          <w:sz w:val="30"/>
          <w:szCs w:val="30"/>
        </w:rPr>
        <w:t>吉林省分局及</w:t>
      </w:r>
      <w:r>
        <w:rPr>
          <w:rFonts w:hint="eastAsia" w:ascii="Times New Roman" w:hAnsi="Times New Roman" w:eastAsia="仿宋_GB2312" w:cs="Times New Roman"/>
          <w:color w:val="auto"/>
          <w:sz w:val="30"/>
          <w:szCs w:val="30"/>
          <w:lang w:eastAsia="zh-CN"/>
        </w:rPr>
        <w:t>分支机构</w:t>
      </w:r>
      <w:r>
        <w:rPr>
          <w:rFonts w:ascii="Times New Roman" w:hAnsi="Times New Roman" w:eastAsia="仿宋_GB2312" w:cs="Times New Roman"/>
          <w:color w:val="auto"/>
          <w:sz w:val="30"/>
          <w:szCs w:val="30"/>
        </w:rPr>
        <w:t>进行咨询、监督和投诉等可通过</w:t>
      </w:r>
      <w:r>
        <w:rPr>
          <w:rFonts w:hint="eastAsia" w:ascii="Times New Roman" w:hAnsi="Times New Roman" w:eastAsia="仿宋_GB2312" w:cs="Times New Roman"/>
          <w:color w:val="auto"/>
          <w:sz w:val="30"/>
          <w:szCs w:val="30"/>
        </w:rPr>
        <w:t>国家外汇管理局吉林省分局官方互联网站“咨询反馈”栏目进行。网址为</w:t>
      </w:r>
      <w:r>
        <w:rPr>
          <w:color w:val="auto"/>
        </w:rPr>
        <w:fldChar w:fldCharType="begin"/>
      </w:r>
      <w:r>
        <w:rPr>
          <w:color w:val="auto"/>
        </w:rPr>
        <w:instrText xml:space="preserve">HYPERLINK "http://www.safe.gov.cn/jilin" </w:instrText>
      </w:r>
      <w:r>
        <w:rPr>
          <w:color w:val="auto"/>
        </w:rPr>
        <w:fldChar w:fldCharType="separate"/>
      </w:r>
      <w:r>
        <w:rPr>
          <w:rStyle w:val="16"/>
          <w:rFonts w:ascii="Times New Roman" w:hAnsi="Times New Roman" w:eastAsia="仿宋_GB2312" w:cs="Times New Roman"/>
          <w:color w:val="auto"/>
          <w:sz w:val="30"/>
          <w:szCs w:val="30"/>
        </w:rPr>
        <w:t>www.safe.gov.cn/jilin</w:t>
      </w:r>
      <w:r>
        <w:rPr>
          <w:color w:val="auto"/>
        </w:rPr>
        <w:fldChar w:fldCharType="end"/>
      </w:r>
      <w:r>
        <w:rPr>
          <w:rFonts w:hint="eastAsia" w:ascii="Times New Roman" w:hAnsi="Times New Roman" w:eastAsia="仿宋_GB2312" w:cs="Times New Roman"/>
          <w:color w:val="auto"/>
          <w:sz w:val="30"/>
          <w:szCs w:val="30"/>
        </w:rPr>
        <w:t>，也可通过国家外汇管理局吉林省分局官方互联网站“咨询反馈——联系我们”栏目中</w:t>
      </w:r>
      <w:r>
        <w:rPr>
          <w:rFonts w:ascii="Times New Roman" w:hAnsi="Times New Roman" w:eastAsia="仿宋_GB2312" w:cs="Times New Roman"/>
          <w:color w:val="auto"/>
          <w:sz w:val="30"/>
          <w:szCs w:val="30"/>
        </w:rPr>
        <w:t>公布的电话进行。</w:t>
      </w:r>
    </w:p>
    <w:p>
      <w:pPr>
        <w:adjustRightInd w:val="0"/>
        <w:snapToGrid w:val="0"/>
        <w:spacing w:line="360" w:lineRule="auto"/>
        <w:ind w:firstLine="601"/>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t>（二十一）申请材料示范文本</w:t>
      </w:r>
    </w:p>
    <w:p>
      <w:pPr>
        <w:adjustRightInd w:val="0"/>
        <w:snapToGrid w:val="0"/>
        <w:spacing w:line="360" w:lineRule="auto"/>
        <w:ind w:firstLine="600"/>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无固定格式。有关内容要求详见（六）申请材料。</w:t>
      </w:r>
    </w:p>
    <w:p>
      <w:pPr>
        <w:adjustRightInd w:val="0"/>
        <w:snapToGrid w:val="0"/>
        <w:spacing w:line="360" w:lineRule="auto"/>
        <w:ind w:firstLine="600"/>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t>（二十二）常见问题解答</w:t>
      </w:r>
    </w:p>
    <w:p>
      <w:pPr>
        <w:adjustRightInd w:val="0"/>
        <w:snapToGrid w:val="0"/>
        <w:spacing w:line="360" w:lineRule="auto"/>
        <w:ind w:firstLine="6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审批时限在20个工作日以内。但办理过程中所需的现场验收等，不计入时限。</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（二十三）常见错误示例</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申请材料不完全符合规定，例如符合银行业监督管理部门有关金融衍生产品交易业务资格规定的证明文件未加盖</w:t>
      </w:r>
      <w:r>
        <w:rPr>
          <w:rFonts w:hint="eastAsia" w:ascii="Times New Roman" w:hAnsi="Times New Roman" w:eastAsia="仿宋_GB2312" w:cs="Times New Roman"/>
          <w:sz w:val="30"/>
          <w:szCs w:val="30"/>
        </w:rPr>
        <w:t>银行</w:t>
      </w:r>
      <w:r>
        <w:rPr>
          <w:rFonts w:ascii="Times New Roman" w:hAnsi="Times New Roman" w:eastAsia="仿宋_GB2312" w:cs="Times New Roman"/>
          <w:sz w:val="30"/>
          <w:szCs w:val="30"/>
        </w:rPr>
        <w:t>公章等。</w:t>
      </w:r>
    </w:p>
    <w:p>
      <w:pPr>
        <w:ind w:right="300" w:firstLine="600"/>
        <w:rPr>
          <w:rFonts w:ascii="Times New Roman" w:hAnsi="Times New Roman" w:eastAsia="黑体" w:cs="Times New Roman"/>
          <w:sz w:val="30"/>
          <w:szCs w:val="30"/>
        </w:rPr>
      </w:pPr>
    </w:p>
    <w:p>
      <w:pPr>
        <w:ind w:right="300" w:firstLine="600"/>
        <w:rPr>
          <w:rFonts w:ascii="Times New Roman" w:hAnsi="Times New Roman" w:eastAsia="仿宋_GB2312" w:cs="Times New Roman"/>
          <w:sz w:val="30"/>
          <w:szCs w:val="30"/>
        </w:rPr>
        <w:sectPr>
          <w:pgSz w:w="11906" w:h="16838"/>
          <w:pgMar w:top="1440" w:right="1800" w:bottom="1440" w:left="1800" w:header="851" w:footer="992" w:gutter="0"/>
          <w:cols w:space="720" w:num="1"/>
          <w:docGrid w:type="lines" w:linePitch="312" w:charSpace="0"/>
        </w:sect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cs="Times New Roman"/>
        </w:rPr>
      </w:pPr>
      <w:r>
        <w:rPr>
          <w:rFonts w:ascii="Times New Roman" w:hAnsi="Times New Roman" w:eastAsia="宋体" w:cs="Times New Roman"/>
          <w:kern w:val="2"/>
          <w:sz w:val="21"/>
          <w:szCs w:val="22"/>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-503555</wp:posOffset>
                </wp:positionH>
                <wp:positionV relativeFrom="paragraph">
                  <wp:posOffset>369570</wp:posOffset>
                </wp:positionV>
                <wp:extent cx="5838190" cy="5353050"/>
                <wp:effectExtent l="9525" t="4445" r="19685" b="14605"/>
                <wp:wrapNone/>
                <wp:docPr id="20" name="组合 1026"/>
                <wp:cNvGraphicFramePr/>
                <a:graphic xmlns:a="http://schemas.openxmlformats.org/drawingml/2006/main">
                  <a:graphicData uri="http://schemas.microsoft.com/office/word/2010/wordprocessingGroup">
                    <wpg:wgp>
                      <wpg:cNvGrpSpPr/>
                      <wpg:grpSpPr>
                        <a:xfrm>
                          <a:off x="0" y="0"/>
                          <a:ext cx="5838190" cy="5353050"/>
                          <a:chOff x="1007" y="3270"/>
                          <a:chExt cx="9194" cy="8430"/>
                        </a:xfrm>
                      </wpg:grpSpPr>
                      <wps:wsp>
                        <wps:cNvPr id="1" name="自选图形 4"/>
                        <wps:cNvCnPr/>
                        <wps:spPr>
                          <a:xfrm>
                            <a:off x="2612" y="4693"/>
                            <a:ext cx="17" cy="1468"/>
                          </a:xfrm>
                          <a:prstGeom prst="straightConnector1">
                            <a:avLst/>
                          </a:prstGeom>
                          <a:ln w="9525" cap="flat" cmpd="sng">
                            <a:solidFill>
                              <a:srgbClr val="000000"/>
                            </a:solidFill>
                            <a:prstDash val="solid"/>
                            <a:headEnd type="none" w="med" len="med"/>
                            <a:tailEnd type="triangle" w="med" len="med"/>
                          </a:ln>
                        </wps:spPr>
                        <wps:bodyPr/>
                      </wps:wsp>
                      <wps:wsp>
                        <wps:cNvPr id="2" name="自选图形 5"/>
                        <wps:cNvCnPr/>
                        <wps:spPr>
                          <a:xfrm>
                            <a:off x="3667" y="5789"/>
                            <a:ext cx="1172" cy="0"/>
                          </a:xfrm>
                          <a:prstGeom prst="straightConnector1">
                            <a:avLst/>
                          </a:prstGeom>
                          <a:ln w="9525" cap="flat" cmpd="sng">
                            <a:solidFill>
                              <a:srgbClr val="000000"/>
                            </a:solidFill>
                            <a:prstDash val="solid"/>
                            <a:headEnd type="none" w="med" len="med"/>
                            <a:tailEnd type="triangle" w="med" len="med"/>
                          </a:ln>
                        </wps:spPr>
                        <wps:bodyPr/>
                      </wps:wsp>
                      <wps:wsp>
                        <wps:cNvPr id="3" name="自选图形 6"/>
                        <wps:cNvCnPr/>
                        <wps:spPr>
                          <a:xfrm>
                            <a:off x="3667" y="6593"/>
                            <a:ext cx="1172" cy="0"/>
                          </a:xfrm>
                          <a:prstGeom prst="straightConnector1">
                            <a:avLst/>
                          </a:prstGeom>
                          <a:ln w="9525" cap="flat" cmpd="sng">
                            <a:solidFill>
                              <a:srgbClr val="000000"/>
                            </a:solidFill>
                            <a:prstDash val="solid"/>
                            <a:headEnd type="none" w="med" len="med"/>
                            <a:tailEnd type="triangle" w="med" len="med"/>
                          </a:ln>
                        </wps:spPr>
                        <wps:bodyPr/>
                      </wps:wsp>
                      <wps:wsp>
                        <wps:cNvPr id="4" name="自选图形 7"/>
                        <wps:cNvCnPr/>
                        <wps:spPr>
                          <a:xfrm flipV="1">
                            <a:off x="8191" y="4642"/>
                            <a:ext cx="1" cy="895"/>
                          </a:xfrm>
                          <a:prstGeom prst="straightConnector1">
                            <a:avLst/>
                          </a:prstGeom>
                          <a:ln w="9525" cap="flat" cmpd="sng">
                            <a:solidFill>
                              <a:srgbClr val="000000"/>
                            </a:solidFill>
                            <a:prstDash val="solid"/>
                            <a:headEnd type="none" w="med" len="med"/>
                            <a:tailEnd type="triangle" w="med" len="med"/>
                          </a:ln>
                        </wps:spPr>
                        <wps:bodyPr/>
                      </wps:wsp>
                      <wps:wsp>
                        <wps:cNvPr id="5" name="自选图形 8"/>
                        <wps:cNvCnPr/>
                        <wps:spPr>
                          <a:xfrm flipH="1">
                            <a:off x="2629" y="4981"/>
                            <a:ext cx="4643" cy="1"/>
                          </a:xfrm>
                          <a:prstGeom prst="straightConnector1">
                            <a:avLst/>
                          </a:prstGeom>
                          <a:ln w="9525" cap="flat" cmpd="sng">
                            <a:solidFill>
                              <a:srgbClr val="000000"/>
                            </a:solidFill>
                            <a:prstDash val="solid"/>
                            <a:headEnd type="none" w="med" len="med"/>
                            <a:tailEnd type="triangle" w="med" len="med"/>
                          </a:ln>
                        </wps:spPr>
                        <wps:bodyPr/>
                      </wps:wsp>
                      <wps:wsp>
                        <wps:cNvPr id="6" name="自选图形 9"/>
                        <wps:cNvCnPr/>
                        <wps:spPr>
                          <a:xfrm>
                            <a:off x="5392" y="8652"/>
                            <a:ext cx="0" cy="437"/>
                          </a:xfrm>
                          <a:prstGeom prst="straightConnector1">
                            <a:avLst/>
                          </a:prstGeom>
                          <a:ln w="9525" cap="flat" cmpd="sng">
                            <a:solidFill>
                              <a:srgbClr val="000000"/>
                            </a:solidFill>
                            <a:prstDash val="solid"/>
                            <a:headEnd type="none" w="med" len="med"/>
                            <a:tailEnd type="triangle" w="med" len="med"/>
                          </a:ln>
                        </wps:spPr>
                        <wps:bodyPr/>
                      </wps:wsp>
                      <wps:wsp>
                        <wps:cNvPr id="7" name="自选图形 10"/>
                        <wps:cNvCnPr/>
                        <wps:spPr>
                          <a:xfrm>
                            <a:off x="6547" y="9623"/>
                            <a:ext cx="17" cy="905"/>
                          </a:xfrm>
                          <a:prstGeom prst="straightConnector1">
                            <a:avLst/>
                          </a:prstGeom>
                          <a:ln w="9525" cap="flat" cmpd="sng">
                            <a:solidFill>
                              <a:srgbClr val="000000"/>
                            </a:solidFill>
                            <a:prstDash val="solid"/>
                            <a:headEnd type="none" w="med" len="med"/>
                            <a:tailEnd type="triangle" w="med" len="med"/>
                          </a:ln>
                        </wps:spPr>
                        <wps:bodyPr/>
                      </wps:wsp>
                      <wps:wsp>
                        <wps:cNvPr id="8" name="自选图形 11"/>
                        <wps:cNvCnPr/>
                        <wps:spPr>
                          <a:xfrm>
                            <a:off x="4432" y="9623"/>
                            <a:ext cx="1" cy="905"/>
                          </a:xfrm>
                          <a:prstGeom prst="straightConnector1">
                            <a:avLst/>
                          </a:prstGeom>
                          <a:ln w="9525" cap="flat" cmpd="sng">
                            <a:solidFill>
                              <a:srgbClr val="000000"/>
                            </a:solidFill>
                            <a:prstDash val="solid"/>
                            <a:headEnd type="none" w="med" len="med"/>
                            <a:tailEnd type="triangle" w="med" len="med"/>
                          </a:ln>
                        </wps:spPr>
                        <wps:bodyPr/>
                      </wps:wsp>
                      <wps:wsp>
                        <wps:cNvPr id="9" name="自选图形 12"/>
                        <wps:cNvCnPr/>
                        <wps:spPr>
                          <a:xfrm>
                            <a:off x="2612" y="6826"/>
                            <a:ext cx="0" cy="1391"/>
                          </a:xfrm>
                          <a:prstGeom prst="straightConnector1">
                            <a:avLst/>
                          </a:prstGeom>
                          <a:ln w="9525" cap="flat" cmpd="sng">
                            <a:solidFill>
                              <a:srgbClr val="000000"/>
                            </a:solidFill>
                            <a:prstDash val="solid"/>
                            <a:headEnd type="none" w="med" len="med"/>
                            <a:tailEnd type="none" w="med" len="med"/>
                          </a:ln>
                        </wps:spPr>
                        <wps:bodyPr/>
                      </wps:wsp>
                      <wps:wsp>
                        <wps:cNvPr id="10" name="自选图形 13"/>
                        <wps:cNvCnPr/>
                        <wps:spPr>
                          <a:xfrm>
                            <a:off x="2612" y="8217"/>
                            <a:ext cx="822" cy="0"/>
                          </a:xfrm>
                          <a:prstGeom prst="straightConnector1">
                            <a:avLst/>
                          </a:prstGeom>
                          <a:ln w="9525" cap="flat" cmpd="sng">
                            <a:solidFill>
                              <a:srgbClr val="000000"/>
                            </a:solidFill>
                            <a:prstDash val="solid"/>
                            <a:headEnd type="none" w="med" len="med"/>
                            <a:tailEnd type="triangle" w="med" len="med"/>
                          </a:ln>
                        </wps:spPr>
                        <wps:bodyPr/>
                      </wps:wsp>
                      <wps:wsp>
                        <wps:cNvPr id="11" name="自选图形 14"/>
                        <wps:cNvSpPr/>
                        <wps:spPr>
                          <a:xfrm>
                            <a:off x="1007" y="5267"/>
                            <a:ext cx="3274" cy="188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接件并当场（或5个工作日）作出是否受理决定</w:t>
                              </w:r>
                            </w:p>
                            <w:p/>
                          </w:txbxContent>
                        </wps:txbx>
                        <wps:bodyPr upright="1"/>
                      </wps:wsp>
                      <wps:wsp>
                        <wps:cNvPr id="12" name="矩形 15"/>
                        <wps:cNvSpPr/>
                        <wps:spPr>
                          <a:xfrm>
                            <a:off x="7272" y="4470"/>
                            <a:ext cx="2094" cy="7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申请人补全材料</w:t>
                              </w:r>
                            </w:p>
                            <w:p/>
                          </w:txbxContent>
                        </wps:txbx>
                        <wps:bodyPr upright="1"/>
                      </wps:wsp>
                      <wps:wsp>
                        <wps:cNvPr id="13" name="矩形 16"/>
                        <wps:cNvSpPr/>
                        <wps:spPr>
                          <a:xfrm>
                            <a:off x="4839" y="5537"/>
                            <a:ext cx="5362" cy="5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材料不全或不符合法定形式的，一次性告知补正材料</w:t>
                              </w:r>
                            </w:p>
                            <w:p/>
                          </w:txbxContent>
                        </wps:txbx>
                        <wps:bodyPr upright="1"/>
                      </wps:wsp>
                      <wps:wsp>
                        <wps:cNvPr id="14" name="矩形 17"/>
                        <wps:cNvSpPr/>
                        <wps:spPr>
                          <a:xfrm>
                            <a:off x="4839" y="6389"/>
                            <a:ext cx="5362" cy="90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依法不予受理的，作出不予受理决定，出具不予受理通知书</w:t>
                              </w:r>
                            </w:p>
                            <w:p/>
                          </w:txbxContent>
                        </wps:txbx>
                        <wps:bodyPr upright="1"/>
                      </wps:wsp>
                      <wps:wsp>
                        <wps:cNvPr id="15" name="矩形 18"/>
                        <wps:cNvSpPr/>
                        <wps:spPr>
                          <a:xfrm>
                            <a:off x="3433" y="8049"/>
                            <a:ext cx="4104" cy="6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依法应予受理，出具受理单</w:t>
                              </w:r>
                            </w:p>
                            <w:p/>
                          </w:txbxContent>
                        </wps:txbx>
                        <wps:bodyPr upright="1"/>
                      </wps:wsp>
                      <wps:wsp>
                        <wps:cNvPr id="16" name="矩形 19"/>
                        <wps:cNvSpPr/>
                        <wps:spPr>
                          <a:xfrm>
                            <a:off x="3434" y="9089"/>
                            <a:ext cx="4252" cy="5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审查报批</w:t>
                              </w:r>
                            </w:p>
                            <w:p/>
                          </w:txbxContent>
                        </wps:txbx>
                        <wps:bodyPr upright="1"/>
                      </wps:wsp>
                      <wps:wsp>
                        <wps:cNvPr id="17" name="矩形 20"/>
                        <wps:cNvSpPr/>
                        <wps:spPr>
                          <a:xfrm>
                            <a:off x="1771" y="3270"/>
                            <a:ext cx="2894" cy="14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4"/>
                                <w:rPr>
                                  <w:rFonts w:ascii="宋体" w:hAnsi="宋体" w:cs="宋体"/>
                                  <w:szCs w:val="21"/>
                                </w:rPr>
                              </w:pPr>
                              <w:r>
                                <w:rPr>
                                  <w:rFonts w:hint="eastAsia" w:ascii="宋体" w:hAnsi="宋体" w:cs="宋体"/>
                                  <w:szCs w:val="21"/>
                                </w:rPr>
                                <w:t>申请人以现场、邮寄、国家外汇管理局政务服务网上办理系统等提交材料提出书面申请，并提交材料</w:t>
                              </w:r>
                            </w:p>
                            <w:p/>
                          </w:txbxContent>
                        </wps:txbx>
                        <wps:bodyPr upright="1"/>
                      </wps:wsp>
                      <wps:wsp>
                        <wps:cNvPr id="18" name="矩形 21"/>
                        <wps:cNvSpPr/>
                        <wps:spPr>
                          <a:xfrm>
                            <a:off x="3433" y="10528"/>
                            <a:ext cx="1747" cy="117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予以许可，向申请人出具正式公文或备案表</w:t>
                              </w:r>
                            </w:p>
                            <w:p/>
                          </w:txbxContent>
                        </wps:txbx>
                        <wps:bodyPr upright="1"/>
                      </wps:wsp>
                      <wps:wsp>
                        <wps:cNvPr id="19" name="矩形 22"/>
                        <wps:cNvSpPr/>
                        <wps:spPr>
                          <a:xfrm>
                            <a:off x="5790" y="10528"/>
                            <a:ext cx="1747" cy="117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依法作出不予许可决定，并送达</w:t>
                              </w:r>
                            </w:p>
                            <w:p/>
                          </w:txbxContent>
                        </wps:txbx>
                        <wps:bodyPr upright="1"/>
                      </wps:wsp>
                    </wpg:wgp>
                  </a:graphicData>
                </a:graphic>
              </wp:anchor>
            </w:drawing>
          </mc:Choice>
          <mc:Fallback>
            <w:pict>
              <v:group id="组合 1026" o:spid="_x0000_s1026" o:spt="203" style="position:absolute;left:0pt;margin-left:-39.65pt;margin-top:29.1pt;height:421.5pt;width:459.7pt;z-index:251659264;mso-width-relative:page;mso-height-relative:page;" coordorigin="1007,3270" coordsize="9194,8430" o:gfxdata="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">
                <o:lock v:ext="edit" position="f" selection="f" grouping="f" rotation="f" cropping="f" text="f" aspectratio="f"/>
                <v:shape id="自选图形 4" o:spid="_x0000_s1026" o:spt="32" type="#_x0000_t32" style="position:absolute;left:2612;top:4693;height:1468;width:17;" filled="f" stroked="t" coordsize="21600,21600" o:gfxdata="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Dt3V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自选图形 5" o:spid="_x0000_s1026" o:spt="32" type="#_x0000_t32" style="position:absolute;left:3667;top:5789;height:0;width:1172;" filled="f" stroked="t" coordsize="21600,21600" o:gfxdata="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Q6K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6" o:spid="_x0000_s1026" o:spt="32" type="#_x0000_t32" style="position:absolute;left:3667;top:6593;height:0;width:1172;" filled="f" stroked="t" coordsize="21600,21600"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7" o:spid="_x0000_s1026" o:spt="32" type="#_x0000_t32" style="position:absolute;left:8191;top:4642;flip:y;height:895;width:1;" filled="f" stroked="t" coordsize="21600,21600" o:gfxdata="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dly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8" o:spid="_x0000_s1026" o:spt="32" type="#_x0000_t32" style="position:absolute;left:2629;top:4981;flip:x;height:1;width:4643;" filled="f" stroked="t" coordsize="21600,21600" o:gfxdata="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68BS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9" o:spid="_x0000_s1026" o:spt="32" type="#_x0000_t32" style="position:absolute;left:5392;top:8652;height:437;width:0;"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0" o:spid="_x0000_s1026" o:spt="32" type="#_x0000_t32" style="position:absolute;left:6547;top:9623;height:905;width:17;"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1" o:spid="_x0000_s1026" o:spt="32" type="#_x0000_t32" style="position:absolute;left:4432;top:9623;height:905;width:1;"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shape id="自选图形 12" o:spid="_x0000_s1026" o:spt="32" type="#_x0000_t32" style="position:absolute;left:2612;top:6826;height:1391;width: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3" o:spid="_x0000_s1026" o:spt="32" type="#_x0000_t32" style="position:absolute;left:2612;top:8217;height:0;width:822;"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4" o:spid="_x0000_s1026" o:spt="110" type="#_x0000_t110" style="position:absolute;left:1007;top:5267;height:1889;width:3274;" fillcolor="#FFFFFF" filled="t" stroked="t" coordsize="21600,21600" o:gfxdata="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dxL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接件并当场（或5个工作日）作出是否受理决定</w:t>
                        </w:r>
                      </w:p>
                      <w:p/>
                    </w:txbxContent>
                  </v:textbox>
                </v:shape>
                <v:rect id="矩形 15" o:spid="_x0000_s1026" o:spt="1" style="position:absolute;left:7272;top:4470;height:796;width:2094;"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申请人补全材料</w:t>
                        </w:r>
                      </w:p>
                      <w:p/>
                    </w:txbxContent>
                  </v:textbox>
                </v:rect>
                <v:rect id="矩形 16" o:spid="_x0000_s1026" o:spt="1" style="position:absolute;left:4839;top:5537;height:500;width:5362;"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材料不全或不符合法定形式的，一次性告知补正材料</w:t>
                        </w:r>
                      </w:p>
                      <w:p/>
                    </w:txbxContent>
                  </v:textbox>
                </v:rect>
                <v:rect id="矩形 17" o:spid="_x0000_s1026" o:spt="1" style="position:absolute;left:4839;top:6389;height:906;width:5362;"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依法不予受理的，作出不予受理决定，出具不予受理通知书</w:t>
                        </w:r>
                      </w:p>
                      <w:p/>
                    </w:txbxContent>
                  </v:textbox>
                </v:rect>
                <v:rect id="矩形 18" o:spid="_x0000_s1026" o:spt="1" style="position:absolute;left:3433;top:8049;height:603;width:4104;"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依法应予受理，出具受理单</w:t>
                        </w:r>
                      </w:p>
                      <w:p/>
                    </w:txbxContent>
                  </v:textbox>
                </v:rect>
                <v:rect id="矩形 19" o:spid="_x0000_s1026" o:spt="1" style="position:absolute;left:3434;top:9089;height:534;width:4252;"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审查报批</w:t>
                        </w:r>
                      </w:p>
                      <w:p/>
                    </w:txbxContent>
                  </v:textbox>
                </v:rect>
                <v:rect id="矩形 20" o:spid="_x0000_s1026" o:spt="1" style="position:absolute;left:1771;top:3270;height:1423;width:2894;"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before="34"/>
                          <w:rPr>
                            <w:rFonts w:ascii="宋体" w:hAnsi="宋体" w:cs="宋体"/>
                            <w:szCs w:val="21"/>
                          </w:rPr>
                        </w:pPr>
                        <w:r>
                          <w:rPr>
                            <w:rFonts w:hint="eastAsia" w:ascii="宋体" w:hAnsi="宋体" w:cs="宋体"/>
                            <w:szCs w:val="21"/>
                          </w:rPr>
                          <w:t>申请人以现场、邮寄、国家外汇管理局政务服务网上办理系统等提交材料提出书面申请，并提交材料</w:t>
                        </w:r>
                      </w:p>
                      <w:p/>
                    </w:txbxContent>
                  </v:textbox>
                </v:rect>
                <v:rect id="矩形 21" o:spid="_x0000_s1026" o:spt="1" style="position:absolute;left:3433;top:10528;height:1172;width:1747;"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予以许可，向申请人出具正式公文或备案表</w:t>
                        </w:r>
                      </w:p>
                      <w:p/>
                    </w:txbxContent>
                  </v:textbox>
                </v:rect>
                <v:rect id="矩形 22" o:spid="_x0000_s1026" o:spt="1" style="position:absolute;left:5790;top:10528;height:1172;width:1747;"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依法作出不予许可决定，并送达</w:t>
                        </w:r>
                      </w:p>
                      <w:p/>
                    </w:txbxContent>
                  </v:textbox>
                </v:rect>
              </v:group>
            </w:pict>
          </mc:Fallback>
        </mc:AlternateConten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6</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EA5DAB"/>
    <w:rsid w:val="4F8817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34"/>
    <w:qFormat/>
    <w:uiPriority w:val="9"/>
    <w:pPr>
      <w:ind w:right="300"/>
      <w:outlineLvl w:val="2"/>
    </w:pPr>
    <w:rPr>
      <w:rFonts w:ascii="仿宋_GB2312" w:eastAsia="仿宋_GB2312" w:cs="Times New Roman"/>
      <w:sz w:val="30"/>
      <w:szCs w:val="30"/>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Document Map"/>
    <w:basedOn w:val="1"/>
    <w:link w:val="37"/>
    <w:unhideWhenUsed/>
    <w:qFormat/>
    <w:uiPriority w:val="0"/>
    <w:rPr>
      <w:rFonts w:ascii="宋体"/>
      <w:sz w:val="18"/>
      <w:szCs w:val="18"/>
    </w:rPr>
  </w:style>
  <w:style w:type="paragraph" w:styleId="6">
    <w:name w:val="annotation text"/>
    <w:basedOn w:val="1"/>
    <w:link w:val="31"/>
    <w:unhideWhenUsed/>
    <w:qFormat/>
    <w:uiPriority w:val="99"/>
    <w:pPr>
      <w:jc w:val="left"/>
    </w:pPr>
    <w:rPr>
      <w:rFonts w:cs="Times New Roman"/>
    </w:rPr>
  </w:style>
  <w:style w:type="paragraph" w:styleId="7">
    <w:name w:val="Body Text"/>
    <w:basedOn w:val="1"/>
    <w:link w:val="42"/>
    <w:qFormat/>
    <w:uiPriority w:val="1"/>
    <w:pPr>
      <w:spacing w:before="190"/>
      <w:ind w:left="720"/>
      <w:jc w:val="left"/>
    </w:pPr>
    <w:rPr>
      <w:rFonts w:ascii="仿宋_GB2312" w:hAnsi="仿宋_GB2312" w:eastAsia="仿宋_GB2312" w:cs="Times New Roman"/>
      <w:kern w:val="0"/>
      <w:sz w:val="30"/>
      <w:szCs w:val="30"/>
      <w:lang w:eastAsia="en-US"/>
    </w:rPr>
  </w:style>
  <w:style w:type="paragraph" w:styleId="8">
    <w:name w:val="Balloon Text"/>
    <w:basedOn w:val="1"/>
    <w:link w:val="29"/>
    <w:unhideWhenUsed/>
    <w:qFormat/>
    <w:uiPriority w:val="0"/>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5"/>
    <w:semiHidden/>
    <w:qFormat/>
    <w:uiPriority w:val="0"/>
    <w:pPr>
      <w:snapToGrid w:val="0"/>
      <w:jc w:val="left"/>
    </w:pPr>
    <w:rPr>
      <w:kern w:val="2"/>
      <w:sz w:val="18"/>
      <w:szCs w:val="18"/>
    </w:rPr>
  </w:style>
  <w:style w:type="paragraph" w:styleId="12">
    <w:name w:val="HTML Preformatted"/>
    <w:basedOn w:val="1"/>
    <w:link w:val="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Hyperlink"/>
    <w:basedOn w:val="15"/>
    <w:unhideWhenUsed/>
    <w:qFormat/>
    <w:uiPriority w:val="99"/>
    <w:rPr>
      <w:rFonts w:hint="default" w:ascii="ˎ̥" w:hAnsi="ˎ̥"/>
      <w:color w:val="0453CC"/>
      <w:sz w:val="20"/>
      <w:szCs w:val="20"/>
      <w:u w:val="none"/>
    </w:rPr>
  </w:style>
  <w:style w:type="character" w:styleId="17">
    <w:name w:val="annotation reference"/>
    <w:basedOn w:val="15"/>
    <w:semiHidden/>
    <w:unhideWhenUsed/>
    <w:qFormat/>
    <w:uiPriority w:val="0"/>
    <w:rPr>
      <w:sz w:val="21"/>
      <w:szCs w:val="21"/>
    </w:rPr>
  </w:style>
  <w:style w:type="character" w:styleId="18">
    <w:name w:val="footnote reference"/>
    <w:unhideWhenUsed/>
    <w:qFormat/>
    <w:uiPriority w:val="0"/>
    <w:rPr>
      <w:rFonts w:ascii="Times New Roman" w:hAnsi="Times New Roman" w:cs="Times New Roman"/>
      <w:vertAlign w:val="superscript"/>
    </w:rPr>
  </w:style>
  <w:style w:type="character" w:customStyle="1" w:styleId="19">
    <w:name w:val="脚注文本 Char"/>
    <w:basedOn w:val="15"/>
    <w:semiHidden/>
    <w:qFormat/>
    <w:uiPriority w:val="99"/>
    <w:rPr>
      <w:kern w:val="2"/>
      <w:sz w:val="18"/>
      <w:szCs w:val="18"/>
    </w:rPr>
  </w:style>
  <w:style w:type="paragraph" w:customStyle="1" w:styleId="20">
    <w:name w:val="列出段落1"/>
    <w:basedOn w:val="1"/>
    <w:qFormat/>
    <w:uiPriority w:val="34"/>
    <w:pPr>
      <w:ind w:firstLine="420" w:firstLineChars="200"/>
    </w:pPr>
    <w:rPr>
      <w:rFonts w:cs="Times New Roman"/>
    </w:rPr>
  </w:style>
  <w:style w:type="paragraph" w:customStyle="1" w:styleId="21">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2">
    <w:name w:val="juzhon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修订1"/>
    <w:hidden/>
    <w:semiHidden/>
    <w:qFormat/>
    <w:uiPriority w:val="99"/>
    <w:rPr>
      <w:rFonts w:ascii="Calibri" w:hAnsi="Calibri" w:eastAsia="宋体" w:cs="黑体"/>
      <w:kern w:val="2"/>
      <w:sz w:val="21"/>
      <w:szCs w:val="22"/>
      <w:lang w:val="en-US" w:eastAsia="zh-CN" w:bidi="ar-SA"/>
    </w:rPr>
  </w:style>
  <w:style w:type="paragraph" w:customStyle="1" w:styleId="24">
    <w:name w:val="列出段落4"/>
    <w:basedOn w:val="1"/>
    <w:qFormat/>
    <w:uiPriority w:val="0"/>
    <w:pPr>
      <w:ind w:firstLine="200" w:firstLineChars="200"/>
    </w:pPr>
    <w:rPr>
      <w:rFonts w:cs="Times New Roman"/>
    </w:rPr>
  </w:style>
  <w:style w:type="paragraph" w:customStyle="1" w:styleId="25">
    <w:name w:val="列出段落3"/>
    <w:basedOn w:val="1"/>
    <w:qFormat/>
    <w:uiPriority w:val="0"/>
    <w:pPr>
      <w:ind w:firstLine="420" w:firstLineChars="200"/>
    </w:pPr>
    <w:rPr>
      <w:rFonts w:ascii="Times New Roman" w:hAnsi="Times New Roman" w:cs="Times New Roman"/>
      <w:szCs w:val="24"/>
    </w:rPr>
  </w:style>
  <w:style w:type="paragraph" w:customStyle="1" w:styleId="26">
    <w:name w:val="p0"/>
    <w:basedOn w:val="1"/>
    <w:qFormat/>
    <w:uiPriority w:val="0"/>
    <w:pPr>
      <w:widowControl/>
    </w:pPr>
    <w:rPr>
      <w:rFonts w:cs="宋体"/>
      <w:kern w:val="0"/>
      <w:szCs w:val="21"/>
    </w:rPr>
  </w:style>
  <w:style w:type="character" w:customStyle="1" w:styleId="27">
    <w:name w:val="页眉 Char Char"/>
    <w:basedOn w:val="15"/>
    <w:link w:val="10"/>
    <w:qFormat/>
    <w:uiPriority w:val="99"/>
    <w:rPr>
      <w:sz w:val="18"/>
      <w:szCs w:val="18"/>
    </w:rPr>
  </w:style>
  <w:style w:type="character" w:customStyle="1" w:styleId="28">
    <w:name w:val="页脚 Char Char"/>
    <w:basedOn w:val="15"/>
    <w:link w:val="9"/>
    <w:uiPriority w:val="99"/>
    <w:rPr>
      <w:sz w:val="18"/>
      <w:szCs w:val="18"/>
    </w:rPr>
  </w:style>
  <w:style w:type="character" w:customStyle="1" w:styleId="29">
    <w:name w:val="批注框文本 Char Char"/>
    <w:basedOn w:val="15"/>
    <w:link w:val="8"/>
    <w:qFormat/>
    <w:uiPriority w:val="0"/>
    <w:rPr>
      <w:sz w:val="18"/>
      <w:szCs w:val="18"/>
    </w:rPr>
  </w:style>
  <w:style w:type="character" w:customStyle="1" w:styleId="30">
    <w:name w:val="HTML 预设格式 Char Char"/>
    <w:basedOn w:val="15"/>
    <w:link w:val="12"/>
    <w:qFormat/>
    <w:uiPriority w:val="99"/>
    <w:rPr>
      <w:rFonts w:ascii="宋体" w:hAnsi="宋体" w:eastAsia="宋体" w:cs="宋体"/>
      <w:kern w:val="0"/>
      <w:sz w:val="24"/>
      <w:szCs w:val="24"/>
    </w:rPr>
  </w:style>
  <w:style w:type="character" w:customStyle="1" w:styleId="31">
    <w:name w:val="批注文字 Char Char"/>
    <w:basedOn w:val="15"/>
    <w:link w:val="6"/>
    <w:qFormat/>
    <w:uiPriority w:val="0"/>
    <w:rPr>
      <w:rFonts w:ascii="Calibri" w:hAnsi="Calibri" w:eastAsia="宋体" w:cs="Times New Roman"/>
    </w:rPr>
  </w:style>
  <w:style w:type="character" w:customStyle="1" w:styleId="32">
    <w:name w:val="标题 1 Char Char"/>
    <w:basedOn w:val="15"/>
    <w:link w:val="2"/>
    <w:qFormat/>
    <w:uiPriority w:val="9"/>
    <w:rPr>
      <w:rFonts w:ascii="黑体" w:hAnsi="黑体" w:eastAsia="黑体" w:cs="宋体"/>
      <w:color w:val="000000"/>
      <w:kern w:val="0"/>
      <w:sz w:val="30"/>
      <w:szCs w:val="30"/>
    </w:rPr>
  </w:style>
  <w:style w:type="character" w:customStyle="1" w:styleId="33">
    <w:name w:val="标题 2 Char Char"/>
    <w:basedOn w:val="15"/>
    <w:link w:val="3"/>
    <w:uiPriority w:val="0"/>
    <w:rPr>
      <w:rFonts w:ascii="Cambria" w:hAnsi="Cambria" w:eastAsia="宋体" w:cs="Times New Roman"/>
      <w:b/>
      <w:bCs/>
      <w:sz w:val="32"/>
      <w:szCs w:val="32"/>
    </w:rPr>
  </w:style>
  <w:style w:type="character" w:customStyle="1" w:styleId="34">
    <w:name w:val="标题 3 Char Char"/>
    <w:basedOn w:val="15"/>
    <w:link w:val="4"/>
    <w:uiPriority w:val="9"/>
    <w:rPr>
      <w:rFonts w:ascii="仿宋_GB2312" w:hAnsi="Calibri" w:eastAsia="仿宋_GB2312" w:cs="Times New Roman"/>
      <w:sz w:val="30"/>
      <w:szCs w:val="30"/>
    </w:rPr>
  </w:style>
  <w:style w:type="character" w:customStyle="1" w:styleId="35">
    <w:name w:val="脚注文本 Char1"/>
    <w:basedOn w:val="15"/>
    <w:link w:val="11"/>
    <w:uiPriority w:val="0"/>
    <w:rPr>
      <w:rFonts w:ascii="Times New Roman" w:hAnsi="Times New Roman"/>
      <w:sz w:val="18"/>
      <w:szCs w:val="18"/>
    </w:rPr>
  </w:style>
  <w:style w:type="character" w:customStyle="1" w:styleId="36">
    <w:name w:val="标题 4 Char Char"/>
    <w:qFormat/>
    <w:uiPriority w:val="0"/>
    <w:rPr>
      <w:rFonts w:ascii="Calibri" w:hAnsi="Calibri"/>
      <w:b/>
      <w:bCs/>
      <w:sz w:val="28"/>
      <w:szCs w:val="28"/>
      <w:lang w:eastAsia="en-US" w:bidi="en-US"/>
    </w:rPr>
  </w:style>
  <w:style w:type="character" w:customStyle="1" w:styleId="37">
    <w:name w:val="文档结构图 Char Char"/>
    <w:basedOn w:val="15"/>
    <w:link w:val="5"/>
    <w:uiPriority w:val="0"/>
    <w:rPr>
      <w:rFonts w:ascii="宋体"/>
      <w:sz w:val="18"/>
      <w:szCs w:val="18"/>
    </w:rPr>
  </w:style>
  <w:style w:type="character" w:customStyle="1" w:styleId="38">
    <w:name w:val="批注文字 Char1"/>
    <w:basedOn w:val="15"/>
    <w:semiHidden/>
    <w:qFormat/>
    <w:uiPriority w:val="99"/>
    <w:rPr>
      <w:kern w:val="2"/>
      <w:sz w:val="21"/>
      <w:szCs w:val="22"/>
    </w:rPr>
  </w:style>
  <w:style w:type="character" w:customStyle="1" w:styleId="39">
    <w:name w:val="明显强调1"/>
    <w:basedOn w:val="15"/>
    <w:qFormat/>
    <w:uiPriority w:val="21"/>
    <w:rPr>
      <w:b/>
      <w:bCs/>
      <w:i/>
      <w:iCs/>
      <w:color w:val="4F81BD"/>
    </w:rPr>
  </w:style>
  <w:style w:type="character" w:customStyle="1" w:styleId="40">
    <w:name w:val="文档结构图 Char1"/>
    <w:basedOn w:val="15"/>
    <w:semiHidden/>
    <w:qFormat/>
    <w:uiPriority w:val="99"/>
    <w:rPr>
      <w:rFonts w:ascii="宋体" w:eastAsia="宋体"/>
      <w:sz w:val="18"/>
      <w:szCs w:val="18"/>
    </w:rPr>
  </w:style>
  <w:style w:type="character" w:customStyle="1" w:styleId="41">
    <w:name w:val="脚注文本 Char2"/>
    <w:basedOn w:val="15"/>
    <w:semiHidden/>
    <w:qFormat/>
    <w:uiPriority w:val="99"/>
    <w:rPr>
      <w:sz w:val="18"/>
      <w:szCs w:val="18"/>
    </w:rPr>
  </w:style>
  <w:style w:type="character" w:customStyle="1" w:styleId="42">
    <w:name w:val="正文文本 Char Char"/>
    <w:basedOn w:val="15"/>
    <w:link w:val="7"/>
    <w:qFormat/>
    <w:uiPriority w:val="1"/>
    <w:rPr>
      <w:rFonts w:ascii="仿宋_GB2312" w:hAnsi="仿宋_GB2312" w:eastAsia="仿宋_GB2312" w:cs="Times New Roman"/>
      <w:kern w:val="0"/>
      <w:sz w:val="30"/>
      <w:szCs w:val="3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391</Words>
  <Characters>2232</Characters>
  <Lines>18</Lines>
  <Paragraphs>5</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2020-02-17T02:50:00Z</dcterms:created>
  <dc:creator>裴建君2</dc:creator>
  <cp:lastModifiedBy>收支文件管理员/收支处/长春/PBC</cp:lastModifiedBy>
  <cp:lastPrinted>2017-11-24T00:22:00Z</cp:lastPrinted>
  <dcterms:modified xsi:type="dcterms:W3CDTF">2023-09-01T09:15:13Z</dcterms:modified>
  <dc:title>编号：57013               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