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color w:val="auto"/>
          <w:sz w:val="48"/>
          <w:szCs w:val="48"/>
        </w:rPr>
      </w:pPr>
      <w:r>
        <w:rPr>
          <w:rFonts w:ascii="Times New Roman" w:hAnsi="Times New Roman" w:eastAsia="黑体" w:cs="Times New Roman"/>
          <w:color w:val="auto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color w:val="auto"/>
          <w:sz w:val="48"/>
          <w:szCs w:val="48"/>
          <w:lang w:val="en-US" w:eastAsia="zh-CN"/>
        </w:rPr>
        <w:t xml:space="preserve">                </w:t>
      </w:r>
      <w:r>
        <w:rPr>
          <w:rFonts w:ascii="Times New Roman" w:hAnsi="Times New Roman" w:eastAsia="黑体" w:cs="Times New Roman"/>
          <w:color w:val="auto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104900" cy="885825"/>
            <wp:effectExtent l="0" t="0" r="0" b="9525"/>
            <wp:docPr id="1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框 1025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color w:val="auto"/>
          <w:sz w:val="30"/>
          <w:szCs w:val="30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color w:val="auto"/>
          <w:sz w:val="48"/>
          <w:szCs w:val="48"/>
        </w:rPr>
        <w:sectPr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4.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银行所在地国家外汇管理局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银行所在地国家外汇管理局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3"/>
        <w:tblW w:w="8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有效签证或签注（实行免签或落地签的国家和地区不提供）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等值1万美元）的补办（个人出境后不予补办）。</w:t>
      </w:r>
    </w:p>
    <w:tbl>
      <w:tblPr>
        <w:tblStyle w:val="13"/>
        <w:tblW w:w="85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申请人可通过国家外汇管理局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"http://www.safe.gov.cn/" \h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向外汇局吉林省分局及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进行咨询、监督和投诉等可通过国家外汇管理局吉林省分局官方互联网站“咨询反馈”栏目进行。网址为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"http://www.safe.gov.cn/jilin"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——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联系我们”栏目中公布的电话进行。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该项行政许可具体由国家外汇管理局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吉林省分局及分支机构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办理，国家外汇管理局吉林省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分局及分支机构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的办公地址和办公时间见国家外汇管理局吉林省分局官方互联网站“咨询反馈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——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个人申请携带超过等值10000美元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现钞出境，应提交申请书，说明相关情况并证明其确有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携带超过等值10000美元外币现钞出境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外汇局XXX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外汇局XX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1094740" cy="744220"/>
                <wp:effectExtent l="5080" t="4445" r="5080" b="13335"/>
                <wp:wrapNone/>
                <wp:docPr id="1" name="AutoShap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442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36" o:spid="_x0000_s1026" o:spt="116" type="#_x0000_t116" style="position:absolute;left:0pt;margin-left:0.15pt;margin-top:5.95pt;height:58.6pt;width:86.2pt;z-index:251659264;mso-width-relative:page;mso-height-relative:page;" fillcolor="#FFFFFF" filled="t" stroked="t" coordsize="21600,21600" o:gfxdata="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p&#10;U2Sa1wAAAAcBAAAPAAAAAAAAAAEAIAAAACIAAABkcnMvZG93bnJldi54bWxQSwECFAAUAAAACACH&#10;TuJAzwTIJuwBAADv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1769110</wp:posOffset>
                </wp:positionV>
                <wp:extent cx="3404870" cy="400050"/>
                <wp:effectExtent l="4445" t="4445" r="19685" b="14605"/>
                <wp:wrapNone/>
                <wp:docPr id="4" name="Auto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材料齐全予以当场办理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9" o:spid="_x0000_s1026" o:spt="2" style="position:absolute;left:0pt;margin-left:144.95pt;margin-top:139.3pt;height:31.5pt;width:268.1pt;z-index:251662336;mso-width-relative:page;mso-height-relative:page;" fillcolor="#FFFFFF" filled="t" stroked="t" coordsize="21600,21600" arcsize="0.166666666666667" o:gfxdata="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kvigrXAAAACwEAAA8AAAAAAAAAAQAgAAAAIgAAAGRycy9kb3ducmV2LnhtbFBLAQIU&#10;ABQAAAAIAIdO4kCyeMV+9AEAAAcEAAAOAAAAAAAAAAEAIAAAACYBAABkcnMvZTJvRG9jLnhtbFBL&#10;BQYAAAAABgAGAFkBAACM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材料齐全予以当场办理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359410</wp:posOffset>
                </wp:positionV>
                <wp:extent cx="1859915" cy="427990"/>
                <wp:effectExtent l="4445" t="4445" r="21590" b="5715"/>
                <wp:wrapNone/>
                <wp:docPr id="2" name="AutoShap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7" o:spid="_x0000_s1026" o:spt="2" style="position:absolute;left:0pt;margin-left:273.6pt;margin-top:28.3pt;height:33.7pt;width:146.45pt;z-index:251660288;mso-width-relative:page;mso-height-relative:page;" fillcolor="#FFFFFF" filled="t" stroked="t" coordsize="21600,21600" arcsize="0.166666666666667" o:gfxdata="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/mRt1gAAAAoBAAAPAAAAAAAAAAEAIAAAACIAAABkcnMvZG93bnJldi54bWxQSwECFAAU&#10;AAAACACHTuJAGEtgC/MBAAAHBAAADgAAAAAAAAABACAAAAAlAQAAZHJzL2Uyb0RvYy54bWxQSwUG&#10;AAAAAAYABgBZAQAAi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1101090</wp:posOffset>
                </wp:positionV>
                <wp:extent cx="3404870" cy="553085"/>
                <wp:effectExtent l="4445" t="4445" r="19685" b="13970"/>
                <wp:wrapNone/>
                <wp:docPr id="3" name="AutoShap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材料不全或不符合其他法定形式的，一次性告知补正材料，并依法出具《行政许可补正通知书》或其他文书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38" o:spid="_x0000_s1026" o:spt="2" style="position:absolute;left:0pt;margin-left:144.95pt;margin-top:86.7pt;height:43.55pt;width:268.1pt;z-index:251661312;mso-width-relative:page;mso-height-relative:page;" fillcolor="#FFFFFF" filled="t" stroked="t" coordsize="21600,21600" arcsize="0.166666666666667" o:gfxdata="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ZXzNdcAAAALAQAADwAAAAAAAAABACAAAAAiAAAAZHJzL2Rvd25yZXYueG1sUEsBAhQA&#10;FAAAAAgAh07iQLOx8qPzAQAABwQAAA4AAAAAAAAAAQAgAAAAJgEAAGRycy9lMm9Eb2MueG1sUEsF&#10;BgAAAAAGAAYAWQEAAI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材料不全或不符合其他法定形式的，一次性告知补正材料，并依法出具《行政许可补正通知书》或其他文书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959485</wp:posOffset>
                </wp:positionV>
                <wp:extent cx="1876425" cy="1209675"/>
                <wp:effectExtent l="8890" t="5715" r="19685" b="22860"/>
                <wp:wrapNone/>
                <wp:docPr id="10" name="AutoShap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09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分支机构</w:t>
                            </w:r>
                            <w:r>
                              <w:rPr>
                                <w:rFonts w:hint="eastAsia"/>
                              </w:rPr>
                              <w:t>受理、审查、审核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45" o:spid="_x0000_s1026" o:spt="110" type="#_x0000_t110" style="position:absolute;left:0pt;margin-left:-33pt;margin-top:75.55pt;height:95.25pt;width:147.75pt;z-index:251668480;mso-width-relative:page;mso-height-relative:page;" fillcolor="#FFFFFF" filled="t" stroked="t" coordsize="21600,21600" o:gfxdata="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CZGtoAAAALAQAADwAAAAAAAAABACAAAAAiAAAAZHJzL2Rvd25yZXYueG1sUEsBAhQAFAAAAAgA&#10;h07iQOFI/f/qAQAA7w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分支机构</w:t>
                      </w:r>
                      <w:r>
                        <w:rPr>
                          <w:rFonts w:hint="eastAsia"/>
                        </w:rPr>
                        <w:t>受理、审查、审核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606425</wp:posOffset>
                </wp:positionV>
                <wp:extent cx="2948305" cy="635"/>
                <wp:effectExtent l="0" t="37465" r="4445" b="38100"/>
                <wp:wrapNone/>
                <wp:docPr id="9" name="AutoShap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4" o:spid="_x0000_s1026" o:spt="32" type="#_x0000_t32" style="position:absolute;left:0pt;flip:x;margin-left:41.45pt;margin-top:47.75pt;height:0.05pt;width:232.15pt;z-index:251667456;mso-width-relative:page;mso-height-relative:page;" filled="f" stroked="t" coordsize="21600,21600" o:gfxdata="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D5ZIdgAAAAIAQAADwAAAAAAAAABACAA&#10;AAAiAAAAZHJzL2Rvd25yZXYueG1sUEsBAhQAFAAAAAgAh07iQPf+UODUAQAApA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787400</wp:posOffset>
                </wp:positionV>
                <wp:extent cx="635" cy="313690"/>
                <wp:effectExtent l="37465" t="0" r="38100" b="10160"/>
                <wp:wrapNone/>
                <wp:docPr id="8" name="AutoShap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3" o:spid="_x0000_s1026" o:spt="32" type="#_x0000_t32" style="position:absolute;left:0pt;flip:y;margin-left:345.35pt;margin-top:62pt;height:24.7pt;width:0.05pt;z-index:251666432;mso-width-relative:page;mso-height-relative:page;" filled="f" stroked="t" coordsize="21600,21600" o:gfxdata="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YQ8A2QAAAAsBAAAPAAAAAAAAAAEA&#10;IAAAACIAAABkcnMvZG93bnJldi54bWxQSwECFAAUAAAACACHTuJA8NAj3tUBAACj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1805940</wp:posOffset>
                </wp:positionV>
                <wp:extent cx="744220" cy="635"/>
                <wp:effectExtent l="0" t="37465" r="17780" b="38100"/>
                <wp:wrapNone/>
                <wp:docPr id="7" name="AutoShap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2" o:spid="_x0000_s1026" o:spt="32" type="#_x0000_t32" style="position:absolute;left:0pt;margin-left:86.35pt;margin-top:142.2pt;height:0.05pt;width:58.6pt;z-index:251665408;mso-width-relative:page;mso-height-relative:page;" filled="f" stroked="t" coordsize="21600,21600" o:gfxdata="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sNQQ2wAAAAsBAAAPAAAAAAAAAAEAIAAAACIA&#10;AABkcnMvZG93bnJldi54bWxQSwECFAAUAAAACACHTuJAD7azGs0BAACZAwAADgAAAAAAAAABACAA&#10;AAAq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1329690</wp:posOffset>
                </wp:positionV>
                <wp:extent cx="744220" cy="635"/>
                <wp:effectExtent l="0" t="37465" r="17780" b="38100"/>
                <wp:wrapNone/>
                <wp:docPr id="6" name="AutoShap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1" o:spid="_x0000_s1026" o:spt="32" type="#_x0000_t32" style="position:absolute;left:0pt;margin-left:86.35pt;margin-top:104.7pt;height:0.05pt;width:58.6pt;z-index:251664384;mso-width-relative:page;mso-height-relative:page;" filled="f" stroked="t" coordsize="21600,21600" o:gfxdata="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BL1+9oAAAALAQAADwAAAAAAAAABACAAAAAiAAAA&#10;ZHJzL2Rvd25yZXYueG1sUEsBAhQAFAAAAAgAh07iQB2yurnMAQAAmQ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黑体"/>
          <w:color w:val="auto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423545</wp:posOffset>
                </wp:positionV>
                <wp:extent cx="635" cy="535940"/>
                <wp:effectExtent l="37465" t="0" r="38100" b="16510"/>
                <wp:wrapNone/>
                <wp:docPr id="5" name="AutoShap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5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0" o:spid="_x0000_s1026" o:spt="32" type="#_x0000_t32" style="position:absolute;left:0pt;margin-left:40.6pt;margin-top:33.35pt;height:42.2pt;width:0.05pt;z-index:251663360;mso-width-relative:page;mso-height-relative:page;" filled="f" stroked="t" coordsize="21600,21600" o:gfxdata="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Ojh5dgAAAAIAQAADwAAAAAAAAABACAAAAAiAAAAZHJz&#10;L2Rvd25yZXYueG1sUEsBAhQAFAAAAAgAh07iQMb3MGXLAQAAmQ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  <w:rPr>
          <w:color w:val="auto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B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 Char"/>
    <w:basedOn w:val="14"/>
    <w:link w:val="9"/>
    <w:uiPriority w:val="99"/>
    <w:rPr>
      <w:sz w:val="18"/>
      <w:szCs w:val="18"/>
    </w:rPr>
  </w:style>
  <w:style w:type="character" w:customStyle="1" w:styleId="28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9">
    <w:name w:val="批注框文本 Char Char"/>
    <w:basedOn w:val="14"/>
    <w:link w:val="7"/>
    <w:uiPriority w:val="0"/>
    <w:rPr>
      <w:sz w:val="18"/>
      <w:szCs w:val="18"/>
    </w:rPr>
  </w:style>
  <w:style w:type="character" w:customStyle="1" w:styleId="30">
    <w:name w:val="HTML 预设格式 Char Char"/>
    <w:basedOn w:val="14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4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4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4"/>
    <w:link w:val="10"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382</Words>
  <Characters>2184</Characters>
  <Lines>18</Lines>
  <Paragraphs>5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收支文件管理员/收支处/长春/PBC</cp:lastModifiedBy>
  <cp:lastPrinted>2021-02-02T06:20:00Z</cp:lastPrinted>
  <dcterms:modified xsi:type="dcterms:W3CDTF">2023-09-01T09:22:01Z</dcterms:modified>
  <dc:title>编号：57016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