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-SA"/>
        </w:rPr>
        <w:pict>
          <v:group id="组合 1025" o:spid="_x0000_s1026" style="position:absolute;left:0;margin-left:-41.35pt;margin-top:78.45pt;height:439.05pt;width:474.15pt;rotation:0f;z-index:251658240;" coordorigin="718,3009" coordsize="9483,8781">
            <o:lock v:ext="edit" position="f" selection="f" grouping="f" rotation="f" cropping="f" text="f" aspectratio="f"/>
            <v:roundrect id="圆角矩形 20" o:spid="_x0000_s1027" style="position:absolute;left:1298;top:3009;height:1684;width:2979;rotation:0f;" o:ole="f" fillcolor="#FFFFFF" filled="t" o:preferrelative="t" stroked="t" coordsize="21600,21600" arcsize="16.6666666666667%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spacing w:before="34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申请人以现场、邮寄、国家外汇管理局政务服务网上办理系统等提交材料提出书面申请，并提交材料</w:t>
                    </w:r>
                  </w:p>
                  <w:p/>
                </w:txbxContent>
              </v:textbox>
            </v:roundrect>
            <v:roundrect id="圆角矩形 17" o:spid="_x0000_s1028" style="position:absolute;left:7272;top:4592;height:674;width:2929;rotation:0f;" o:ole="f" fillcolor="#FFFFFF" filled="t" o:preferrelative="t" stroked="t" coordsize="21600,21600" arcsize="16.6666666666667%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ind w:firstLine="420" w:firstLineChars="200"/>
                    </w:pPr>
                    <w:r>
                      <w:rPr>
                        <w:rFonts w:hint="eastAsia"/>
                      </w:rPr>
                      <w:t>申请人补全材料</w:t>
                    </w:r>
                  </w:p>
                </w:txbxContent>
              </v:textbox>
            </v:roundrect>
            <v:roundrect id="圆角矩形 10" o:spid="_x0000_s1029" style="position:absolute;left:4730;top:5541;height:500;width:5362;rotation:0f;" o:ole="f" fillcolor="#FFFFFF" filled="t" o:preferrelative="t" stroked="t" coordsize="21600,21600" arcsize="16.6666666666667%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材料不全或不符合法定形式的，一次性告知补正材料</w:t>
                    </w:r>
                  </w:p>
                </w:txbxContent>
              </v:textbox>
            </v:roundrect>
            <v:roundrect id="圆角矩形 8" o:spid="_x0000_s1030" style="position:absolute;left:4699;top:6297;height:906;width:5362;rotation:0f;" o:ole="f" fillcolor="#FFFFFF" filled="t" o:preferrelative="t" stroked="t" coordsize="21600,21600" arcsize="16.6666666666667%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依法不予受理的，作出不予受理决定，出具不予受理通知书</w:t>
                    </w:r>
                  </w:p>
                </w:txbxContent>
              </v:textbox>
            </v:roundrect>
            <v:roundrect id="圆角矩形 14" o:spid="_x0000_s1031" style="position:absolute;left:3434;top:7971;height:603;width:4218;rotation:0f;" o:ole="f" fillcolor="#FFFFFF" filled="t" o:preferrelative="t" stroked="t" coordsize="21600,21600" arcsize="16.6666666666667%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ind w:firstLine="525" w:firstLineChars="250"/>
                    </w:pPr>
                    <w:r>
                      <w:rPr>
                        <w:rFonts w:hint="eastAsia"/>
                      </w:rPr>
                      <w:t>依法应予受理，出具受理单</w:t>
                    </w:r>
                  </w:p>
                </w:txbxContent>
              </v:textbox>
            </v:roundrect>
            <v:roundrect id="圆角矩形 1" o:spid="_x0000_s1032" style="position:absolute;left:3434;top:9011;height:702;width:4219;rotation:0f;" o:ole="f" fillcolor="#FFFFFF" filled="t" o:preferrelative="t" stroked="t" coordsize="21600,21600" arcsize="16.6666666666667%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审查报批</w:t>
                    </w:r>
                  </w:p>
                </w:txbxContent>
              </v:textbox>
            </v:roundrect>
            <v:roundrect id="圆角矩形 5" o:spid="_x0000_s1033" style="position:absolute;left:6174;top:10618;height:1172;width:3617;rotation:0f;" o:ole="f" fillcolor="#FFFFFF" filled="t" o:preferrelative="t" stroked="t" coordsize="21600,21600" arcsize="16.6666666666667%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依法作出不予许可决定，并送达</w:t>
                    </w:r>
                  </w:p>
                </w:txbxContent>
              </v:textbox>
            </v:roundrect>
            <v:roundrect id="圆角矩形 4" o:spid="_x0000_s1034" style="position:absolute;left:1848;top:10618;height:1172;width:3952;rotation:0f;" o:ole="f" fillcolor="#FFFFFF" filled="t" o:preferrelative="t" stroked="t" coordsize="21600,21600" arcsize="16.6666666666667%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予以许可，向申请人出具加盖签章的备案表</w:t>
                    </w:r>
                  </w:p>
                </w:txbxContent>
              </v:textbox>
            </v:roundrect>
            <v:shape id="直接箭头连接符 18" o:spid="_x0000_s1035" type="#_x0000_t32" style="position:absolute;left:2361;top:4942;height:0;width:499;rotation:589824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11" o:spid="_x0000_s1036" type="#_x0000_t34" style="position:absolute;left:3525;top:5655;height:1;width:1172;rotation:0f;" o:ole="f" fillcolor="#FFFFFF" filled="t" o:preferrelative="t" stroked="t" coordorigin="0,0" coordsize="21600,21600" adj="108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7" o:spid="_x0000_s1037" type="#_x0000_t34" style="position:absolute;left:3525;top:6735;height:1;width:1172;rotation:0f;" o:ole="f" fillcolor="#FFFFFF" filled="t" o:preferrelative="t" stroked="t" coordorigin="0,0" coordsize="21600,21600" adj="108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19" o:spid="_x0000_s1038" type="#_x0000_t32" style="position:absolute;left:2629;top:4981;flip:x;height:1;width:4643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13" o:spid="_x0000_s1039" type="#_x0000_t32" style="position:absolute;left:5490;top:8574;height:437;width:0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3" o:spid="_x0000_s1040" type="#_x0000_t32" style="position:absolute;left:6771;top:9713;height:905;width:17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2" o:spid="_x0000_s1041" type="#_x0000_t32" style="position:absolute;left:4289;top:9713;height:905;width:1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15" o:spid="_x0000_s1042" type="#_x0000_t32" style="position:absolute;left:2612;top:6826;height:1391;width:0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直接箭头连接符 16" o:spid="_x0000_s1043" type="#_x0000_t32" style="position:absolute;left:2612;top:8217;height:0;width:822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流程图: 决策 6" o:spid="_x0000_s1044" type="#_x0000_t110" style="position:absolute;left:718;top:5192;height:2011;width:3796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接件并当场（或5个工作日）作出是否受理决定</w:t>
                    </w:r>
                  </w:p>
                  <w:p/>
                </w:txbxContent>
              </v:textbox>
            </v:shape>
            <v:shape id="_x0000_s1089" o:spid="_x0000_s1045" type="#_x0000_t32" style="position:absolute;left:8910;top:5266;flip:y;height:275;width:1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</v:group>
        </w:pict>
      </w:r>
      <w:r>
        <w:rPr>
          <w:rFonts w:hint="eastAsia" w:ascii="黑体" w:eastAsia="黑体"/>
          <w:sz w:val="32"/>
          <w:szCs w:val="32"/>
        </w:rPr>
        <w:t>基本流程图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nhideWhenUsed="0"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ind w:firstLine="600" w:firstLineChars="200"/>
      <w:outlineLvl w:val="0"/>
    </w:pPr>
    <w:rPr>
      <w:rFonts w:ascii="黑体" w:hAnsi="黑体" w:eastAsia="黑体" w:cs="宋体"/>
      <w:color w:val="000000"/>
      <w:kern w:val="0"/>
      <w:sz w:val="30"/>
      <w:szCs w:val="30"/>
    </w:rPr>
  </w:style>
  <w:style w:type="paragraph" w:styleId="3">
    <w:name w:val="heading 2"/>
    <w:basedOn w:val="1"/>
    <w:next w:val="1"/>
    <w:link w:val="3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ind w:right="300"/>
      <w:outlineLvl w:val="2"/>
    </w:pPr>
    <w:rPr>
      <w:rFonts w:ascii="仿宋_GB2312" w:hAnsi="Calibri" w:eastAsia="仿宋_GB2312" w:cs="Times New Roman"/>
      <w:sz w:val="30"/>
      <w:szCs w:val="30"/>
    </w:rPr>
  </w:style>
  <w:style w:type="character" w:default="1" w:styleId="12">
    <w:name w:val="Default Paragraph Font"/>
    <w:semiHidden/>
    <w:unhideWhenUsed/>
    <w:uiPriority w:val="1"/>
  </w:style>
  <w:style w:type="paragraph" w:styleId="5">
    <w:name w:val="Document Map"/>
    <w:basedOn w:val="1"/>
    <w:link w:val="36"/>
    <w:unhideWhenUsed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30"/>
    <w:unhideWhenUsed/>
    <w:uiPriority w:val="99"/>
    <w:pPr>
      <w:jc w:val="left"/>
    </w:pPr>
    <w:rPr>
      <w:rFonts w:ascii="Calibri" w:hAnsi="Calibri" w:eastAsia="宋体" w:cs="Times New Roman"/>
    </w:rPr>
  </w:style>
  <w:style w:type="paragraph" w:styleId="7">
    <w:name w:val="Balloon Text"/>
    <w:basedOn w:val="1"/>
    <w:link w:val="28"/>
    <w:unhideWhenUsed/>
    <w:uiPriority w:val="0"/>
    <w:rPr>
      <w:sz w:val="18"/>
      <w:szCs w:val="18"/>
    </w:rPr>
  </w:style>
  <w:style w:type="paragraph" w:styleId="8">
    <w:name w:val="foot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4"/>
    <w:semiHidden/>
    <w:qFormat/>
    <w:uiPriority w:val="0"/>
    <w:pPr>
      <w:snapToGrid w:val="0"/>
      <w:jc w:val="left"/>
    </w:pPr>
    <w:rPr>
      <w:kern w:val="2"/>
      <w:sz w:val="18"/>
      <w:szCs w:val="18"/>
    </w:rPr>
  </w:style>
  <w:style w:type="character" w:customStyle="1" w:styleId="11">
    <w:name w:val="脚注文本 Char"/>
    <w:basedOn w:val="12"/>
    <w:semiHidden/>
    <w:uiPriority w:val="99"/>
    <w:rPr>
      <w:kern w:val="2"/>
      <w:sz w:val="18"/>
      <w:szCs w:val="18"/>
    </w:rPr>
  </w:style>
  <w:style w:type="paragraph" w:styleId="13">
    <w:name w:val="HTML Preformatted"/>
    <w:basedOn w:val="1"/>
    <w:link w:val="29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Hyperlink"/>
    <w:basedOn w:val="12"/>
    <w:unhideWhenUsed/>
    <w:uiPriority w:val="99"/>
    <w:rPr>
      <w:rFonts w:hint="default" w:ascii="ˎ̥" w:hAnsi="ˎ̥"/>
      <w:color w:val="0453CC"/>
      <w:sz w:val="20"/>
      <w:szCs w:val="20"/>
      <w:u w:val="none"/>
    </w:rPr>
  </w:style>
  <w:style w:type="character" w:styleId="16">
    <w:name w:val="annotation reference"/>
    <w:basedOn w:val="12"/>
    <w:semiHidden/>
    <w:unhideWhenUsed/>
    <w:uiPriority w:val="0"/>
    <w:rPr>
      <w:sz w:val="21"/>
      <w:szCs w:val="21"/>
    </w:rPr>
  </w:style>
  <w:style w:type="character" w:styleId="17">
    <w:name w:val="footnote reference"/>
    <w:unhideWhenUsed/>
    <w:qFormat/>
    <w:uiPriority w:val="0"/>
    <w:rPr>
      <w:rFonts w:ascii="Times New Roman" w:hAnsi="Times New Roman" w:cs="Times New Roman"/>
      <w:vertAlign w:val="superscript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Default"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</w:rPr>
  </w:style>
  <w:style w:type="paragraph" w:customStyle="1" w:styleId="20">
    <w:name w:val="juzhon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Revision"/>
    <w:hidden/>
    <w:semiHidden/>
    <w:uiPriority w:val="99"/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列出段落4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24">
    <w:name w:val="列出段落3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5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6">
    <w:name w:val="页眉 Char Char"/>
    <w:basedOn w:val="12"/>
    <w:link w:val="9"/>
    <w:uiPriority w:val="99"/>
    <w:rPr>
      <w:sz w:val="18"/>
      <w:szCs w:val="18"/>
    </w:rPr>
  </w:style>
  <w:style w:type="character" w:customStyle="1" w:styleId="27">
    <w:name w:val="页脚 Char Char"/>
    <w:basedOn w:val="12"/>
    <w:link w:val="8"/>
    <w:uiPriority w:val="99"/>
    <w:rPr>
      <w:sz w:val="18"/>
      <w:szCs w:val="18"/>
    </w:rPr>
  </w:style>
  <w:style w:type="character" w:customStyle="1" w:styleId="28">
    <w:name w:val="批注框文本 Char Char"/>
    <w:basedOn w:val="12"/>
    <w:link w:val="7"/>
    <w:uiPriority w:val="0"/>
    <w:rPr>
      <w:sz w:val="18"/>
      <w:szCs w:val="18"/>
    </w:rPr>
  </w:style>
  <w:style w:type="character" w:customStyle="1" w:styleId="29">
    <w:name w:val="HTML 预设格式 Char Char"/>
    <w:basedOn w:val="12"/>
    <w:link w:val="13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批注文字 Char Char"/>
    <w:basedOn w:val="12"/>
    <w:link w:val="6"/>
    <w:uiPriority w:val="0"/>
    <w:rPr>
      <w:rFonts w:ascii="Calibri" w:hAnsi="Calibri" w:eastAsia="宋体" w:cs="Times New Roman"/>
    </w:rPr>
  </w:style>
  <w:style w:type="character" w:customStyle="1" w:styleId="31">
    <w:name w:val="标题 1 Char Char"/>
    <w:basedOn w:val="12"/>
    <w:link w:val="2"/>
    <w:uiPriority w:val="9"/>
    <w:rPr>
      <w:rFonts w:ascii="黑体" w:hAnsi="黑体" w:eastAsia="黑体" w:cs="宋体"/>
      <w:color w:val="000000"/>
      <w:kern w:val="0"/>
      <w:sz w:val="30"/>
      <w:szCs w:val="30"/>
    </w:rPr>
  </w:style>
  <w:style w:type="character" w:customStyle="1" w:styleId="32">
    <w:name w:val="标题 2 Char Char"/>
    <w:basedOn w:val="12"/>
    <w:link w:val="3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Char Char"/>
    <w:basedOn w:val="12"/>
    <w:link w:val="4"/>
    <w:uiPriority w:val="9"/>
    <w:rPr>
      <w:rFonts w:ascii="仿宋_GB2312" w:hAnsi="Calibri" w:eastAsia="仿宋_GB2312" w:cs="Times New Roman"/>
      <w:sz w:val="30"/>
      <w:szCs w:val="30"/>
    </w:rPr>
  </w:style>
  <w:style w:type="character" w:customStyle="1" w:styleId="34">
    <w:name w:val="脚注文本 Char1"/>
    <w:basedOn w:val="12"/>
    <w:link w:val="10"/>
    <w:uiPriority w:val="0"/>
    <w:rPr>
      <w:rFonts w:ascii="Times New Roman" w:hAnsi="Times New Roman"/>
      <w:sz w:val="18"/>
      <w:szCs w:val="18"/>
    </w:rPr>
  </w:style>
  <w:style w:type="character" w:customStyle="1" w:styleId="35">
    <w:name w:val="标题 4 Char Char"/>
    <w:qFormat/>
    <w:uiPriority w:val="0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36">
    <w:name w:val="文档结构图 Char Char"/>
    <w:basedOn w:val="12"/>
    <w:link w:val="5"/>
    <w:uiPriority w:val="0"/>
    <w:rPr>
      <w:rFonts w:ascii="宋体"/>
      <w:sz w:val="18"/>
      <w:szCs w:val="18"/>
    </w:rPr>
  </w:style>
  <w:style w:type="character" w:customStyle="1" w:styleId="37">
    <w:name w:val="批注文字 Char1"/>
    <w:basedOn w:val="12"/>
    <w:semiHidden/>
    <w:uiPriority w:val="99"/>
    <w:rPr>
      <w:kern w:val="2"/>
      <w:sz w:val="21"/>
      <w:szCs w:val="22"/>
    </w:rPr>
  </w:style>
  <w:style w:type="character" w:customStyle="1" w:styleId="38">
    <w:name w:val="Intense Emphasis"/>
    <w:basedOn w:val="12"/>
    <w:qFormat/>
    <w:uiPriority w:val="21"/>
    <w:rPr>
      <w:b/>
      <w:bCs/>
      <w:i/>
      <w:iCs/>
      <w:color w:val="4F81BD"/>
    </w:rPr>
  </w:style>
  <w:style w:type="character" w:customStyle="1" w:styleId="39">
    <w:name w:val="文档结构图 Char1"/>
    <w:basedOn w:val="12"/>
    <w:semiHidden/>
    <w:uiPriority w:val="99"/>
    <w:rPr>
      <w:rFonts w:ascii="宋体" w:eastAsia="宋体"/>
      <w:sz w:val="18"/>
      <w:szCs w:val="18"/>
    </w:rPr>
  </w:style>
  <w:style w:type="character" w:customStyle="1" w:styleId="40">
    <w:name w:val="脚注文本 Char2"/>
    <w:basedOn w:val="1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6</Characters>
  <Lines>1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2020-02-27T03:33:00Z</dcterms:created>
  <dc:creator>裴建君2</dc:creator>
  <cp:lastModifiedBy>pc</cp:lastModifiedBy>
  <cp:lastPrinted>2019-06-11T06:57:00Z</cp:lastPrinted>
  <dcterms:modified xsi:type="dcterms:W3CDTF">2021-04-07T04:23:06Z</dcterms:modified>
  <dc:title>基本流程图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