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color w:val="auto"/>
          <w:sz w:val="48"/>
          <w:szCs w:val="48"/>
        </w:rPr>
      </w:pPr>
      <w:r>
        <w:rPr>
          <w:rFonts w:ascii="Times New Roman" w:hAnsi="Times New Roman" w:eastAsia="黑体" w:cs="Times New Roman"/>
          <w:color w:val="auto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color w:val="auto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color w:val="auto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  <w:r>
        <w:rPr>
          <w:rFonts w:ascii="Times New Roman" w:hAnsi="Times New Roman" w:eastAsia="黑体" w:cs="Times New Roman"/>
          <w:color w:val="auto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color w:val="auto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adjustRightIn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分局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分局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新办申请材料清单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559"/>
        <w:gridCol w:w="1559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电子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列明申请事项及申请业务范围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自由贸易试验区内保险公司免于提供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变更申请材料清单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（十五）咨询途径、监督和投诉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color w:val="auto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吉林省分局及各市（州）中心支局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进行咨询、监督和投诉等可通过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color w:val="auto"/>
          <w:sz w:val="30"/>
          <w:szCs w:val="30"/>
        </w:rPr>
      </w:pPr>
      <w:r>
        <w:rPr>
          <w:rFonts w:ascii="仿宋_GB2312" w:hAnsi="Times New Roman" w:eastAsia="仿宋_GB2312"/>
          <w:color w:val="auto"/>
          <w:sz w:val="30"/>
          <w:szCs w:val="30"/>
        </w:rPr>
        <w:t>该项行政许可具体由国家外汇管理局分局办理，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国家外汇管理局吉林省</w:t>
      </w:r>
      <w:r>
        <w:rPr>
          <w:rFonts w:ascii="仿宋_GB2312" w:hAnsi="Times New Roman" w:eastAsia="仿宋_GB2312"/>
          <w:color w:val="auto"/>
          <w:sz w:val="30"/>
          <w:szCs w:val="30"/>
        </w:rPr>
        <w:t>分局办公地址和办公时间见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国家外汇管理局吉林省分局官方互联网站“咨询反馈——联系我们”栏目。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XX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仿宋_GB2312" w:hAnsi="Times New Roman" w:eastAsia="仿宋_GB2312" w:cs="Times New Roman"/>
          <w:color w:val="auto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/>
        </w:sect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auto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hAnsi="Times New Roman" w:eastAsia="仿宋_GB2312" w:cs="Times New Roman"/>
          <w:color w:val="auto"/>
          <w:sz w:val="30"/>
          <w:szCs w:val="30"/>
        </w:rPr>
        <w:t>1.</w:t>
      </w:r>
      <w:r>
        <w:rPr>
          <w:rFonts w:hint="eastAsia" w:ascii="仿宋_GB2312" w:eastAsia="仿宋_GB2312"/>
          <w:color w:val="auto"/>
          <w:sz w:val="30"/>
          <w:szCs w:val="30"/>
        </w:rPr>
        <w:t>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申请材料未明确业务范围，</w:t>
      </w:r>
      <w:r>
        <w:rPr>
          <w:rFonts w:hint="eastAsia" w:ascii="仿宋_GB2312" w:eastAsia="仿宋_GB2312"/>
          <w:color w:val="auto"/>
          <w:sz w:val="30"/>
          <w:szCs w:val="30"/>
        </w:rPr>
        <w:t>内部管理制度缺少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操作流程、资金管理和数据报送等内容。</w:t>
      </w:r>
    </w:p>
    <w:p>
      <w:pPr>
        <w:ind w:right="300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基本流程图</w:t>
      </w:r>
    </w:p>
    <w:p>
      <w:pPr>
        <w:rPr>
          <w:color w:val="auto"/>
        </w:rPr>
      </w:pPr>
      <w:r>
        <w:rPr>
          <w:rFonts w:ascii="Times New Roman" w:hAnsi="Times New Roman" w:eastAsia="仿宋_GB2312" w:cs="Times New Roman"/>
          <w:color w:val="auto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39.15pt;margin-top:29.1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8" type="#_x0000_t32" style="position:absolute;left:1819;top:5320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9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0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3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4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5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6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7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8" type="#_x0000_t32" style="position:absolute;left:4163;top:7073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9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1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2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3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4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5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6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7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8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annotation subject"/>
    <w:basedOn w:val="6"/>
    <w:next w:val="6"/>
    <w:link w:val="42"/>
    <w:semiHidden/>
    <w:unhideWhenUsed/>
    <w:uiPriority w:val="99"/>
    <w:rPr>
      <w:rFonts w:ascii="Calibri" w:hAnsi="Calibri" w:eastAsia="宋体" w:cs="黑体"/>
      <w:b/>
      <w:bCs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7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  <w:style w:type="character" w:customStyle="1" w:styleId="42">
    <w:name w:val="批注主题 Char Char"/>
    <w:basedOn w:val="31"/>
    <w:link w:val="5"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411</Words>
  <Characters>2349</Characters>
  <Lines>19</Lines>
  <Paragraphs>5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pc</cp:lastModifiedBy>
  <cp:lastPrinted>2017-12-26T09:10:00Z</cp:lastPrinted>
  <dcterms:modified xsi:type="dcterms:W3CDTF">2021-04-22T07:31:03Z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