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编号：57014</w:t>
      </w:r>
      <w:r>
        <w:rPr>
          <w:rFonts w:hint="eastAsia" w:ascii="Times New Roman" w:hAnsi="Times New Roman" w:eastAsia="黑体" w:cs="Times New Roman"/>
          <w:color w:val="000000"/>
          <w:sz w:val="48"/>
          <w:szCs w:val="48"/>
        </w:rPr>
        <w:t xml:space="preserve">               </w:t>
      </w:r>
      <w:r>
        <w:rPr>
          <w:rFonts w:ascii="Times New Roman" w:hAnsi="Times New Roman" w:eastAsia="黑体" w:cs="Times New Roman"/>
          <w:color w:val="000000"/>
          <w:kern w:val="2"/>
          <w:sz w:val="48"/>
          <w:szCs w:val="48"/>
          <w:lang w:val="en-US" w:eastAsia="zh-CN" w:bidi="ar-SA"/>
        </w:rPr>
        <w:pict>
          <v:shape id="图片框 1068" o:spid="_x0000_s1026" type="#_x0000_t75" style="height:70.15pt;width:86.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“保险、证券公司等非银行金融机构外汇业务市场准入、退出审批”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行政审批服务指南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ind w:right="300"/>
        <w:rPr>
          <w:rFonts w:ascii="Times New Roman" w:hAnsi="Times New Roman" w:eastAsia="仿宋_GB2312" w:cs="Times New Roman"/>
          <w:color w:val="000000"/>
          <w:sz w:val="30"/>
          <w:szCs w:val="30"/>
        </w:rPr>
        <w:sectPr>
          <w:footerReference r:id="rId4" w:type="default"/>
          <w:pgSz w:w="11906" w:h="16838"/>
          <w:pgMar w:top="1440" w:right="1800" w:bottom="1440" w:left="1800" w:header="851" w:footer="992" w:gutter="0"/>
          <w:pgNumType w:start="1"/>
          <w:cols w:space="720" w:num="1"/>
          <w:docGrid w:type="lines" w:linePitch="312"/>
        </w:sectPr>
      </w:pPr>
    </w:p>
    <w:p>
      <w:pPr>
        <w:adjustRightInd w:val="0"/>
        <w:spacing w:line="360" w:lineRule="auto"/>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 xml:space="preserve">    </w:t>
      </w:r>
      <w:r>
        <w:rPr>
          <w:rFonts w:ascii="Times New Roman" w:hAnsi="Times New Roman" w:eastAsia="黑体" w:cs="Times New Roman"/>
          <w:color w:val="000000"/>
          <w:sz w:val="30"/>
          <w:szCs w:val="30"/>
        </w:rPr>
        <w:t>一、项目信息</w:t>
      </w:r>
    </w:p>
    <w:p>
      <w:pPr>
        <w:adjustRightIn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项目编号：57014；</w:t>
      </w:r>
    </w:p>
    <w:p>
      <w:pPr>
        <w:adjustRightIn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w:t>
      </w:r>
      <w:r>
        <w:rPr>
          <w:rFonts w:ascii="Times New Roman" w:hAnsi="黑体" w:eastAsia="黑体" w:cs="Times New Roman"/>
          <w:color w:val="000000"/>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（一）办理依据</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1.申请人条件</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tbl>
      <w:tblPr>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4"/>
        <w:gridCol w:w="3879"/>
        <w:gridCol w:w="1000"/>
        <w:gridCol w:w="559"/>
        <w:gridCol w:w="851"/>
        <w:gridCol w:w="567"/>
        <w:gridCol w:w="1226"/>
      </w:tblGrid>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rPr>
          <w:trHeight w:val="951"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r>
              <w:rPr>
                <w:rFonts w:hint="eastAsia" w:ascii="Times New Roman" w:hAnsi="Times New Roman" w:eastAsia="仿宋_GB2312" w:cs="Times New Roman"/>
                <w:color w:val="000000"/>
                <w:sz w:val="24"/>
                <w:szCs w:val="24"/>
              </w:rPr>
              <w:t>（包括机构基本情况、机构自身外汇收支和结售汇情况、开展结售汇业务可行性分析、结售汇业务计划和种类、结售汇综合头寸需求等）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结售汇业务内部管理规章制度</w:t>
            </w:r>
            <w:r>
              <w:rPr>
                <w:rFonts w:hint="eastAsia" w:ascii="Times New Roman" w:hAnsi="Times New Roman" w:eastAsia="仿宋_GB2312" w:cs="Times New Roman"/>
                <w:color w:val="000000"/>
                <w:sz w:val="24"/>
                <w:szCs w:val="24"/>
              </w:rPr>
              <w:t>（包括结售汇业务操作规程、结售汇业务单证管理制度、结售汇业务统计报告制度、结售汇综合头寸管理制度、结售汇业务会计科目和核算办法、结售汇业务内部审计、风险控制及合规制度、从业人员岗位责任制度、结售汇业务授权管理制度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具备办理结售汇业务所必需的软硬件设施的说明材料</w:t>
            </w:r>
            <w:r>
              <w:rPr>
                <w:rFonts w:hint="eastAsia" w:ascii="Times New Roman" w:hAnsi="Times New Roman" w:eastAsia="仿宋_GB2312" w:cs="Times New Roman"/>
                <w:color w:val="000000"/>
                <w:sz w:val="24"/>
                <w:szCs w:val="24"/>
              </w:rPr>
              <w:t>（如结售汇汇价接收、发送管理系统及查询报送数据设施等）。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r>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color w:val="00000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验原件，留存加盖公章的复印件</w:t>
            </w:r>
          </w:p>
        </w:tc>
      </w:tr>
    </w:tbl>
    <w:p>
      <w:pPr>
        <w:rPr>
          <w:rFonts w:ascii="Times New Roman" w:hAnsi="Times New Roman" w:eastAsia="黑体" w:cs="Times New Roman"/>
          <w:color w:val="000000"/>
          <w:sz w:val="30"/>
          <w:szCs w:val="30"/>
        </w:rPr>
      </w:pP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1.申请人提交申请；</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初审：申请人提交材料备齐备之日起初审20个工作日。国家外汇管理局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国家外汇管理局收到国家外汇管理局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批复文件。</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初审意见上报国家外汇管理局。国家外汇管理局向国家外汇管理局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分局批复后，由国家外汇管理局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分局向申请人出具批复文件</w:t>
      </w:r>
      <w:r>
        <w:rPr>
          <w:rFonts w:hint="eastAsia" w:ascii="Times New Roman" w:hAnsi="Times New Roman" w:eastAsia="仿宋_GB2312" w:cs="Times New Roman"/>
          <w:color w:val="000000"/>
          <w:sz w:val="30"/>
          <w:szCs w:val="30"/>
        </w:rPr>
        <w:t>。</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国家外汇管理局通过发文回复国家外汇管理局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分局。国家外汇管理局</w:t>
      </w:r>
      <w:r>
        <w:rPr>
          <w:rFonts w:hint="eastAsia" w:ascii="Times New Roman" w:hAnsi="Times New Roman" w:eastAsia="仿宋_GB2312" w:cs="Times New Roman"/>
          <w:color w:val="000000"/>
          <w:sz w:val="30"/>
          <w:szCs w:val="30"/>
        </w:rPr>
        <w:t>吉林省</w:t>
      </w:r>
      <w:r>
        <w:rPr>
          <w:rFonts w:ascii="Times New Roman" w:hAnsi="Times New Roman" w:eastAsia="仿宋_GB2312" w:cs="Times New Roman"/>
          <w:color w:val="000000"/>
          <w:sz w:val="30"/>
          <w:szCs w:val="30"/>
        </w:rPr>
        <w:t>分局出具的批复文件通过现场告知或电话通知申请人，并通过现场领取或邮寄方式将结果送达</w:t>
      </w:r>
      <w:r>
        <w:rPr>
          <w:rFonts w:hint="eastAsia" w:ascii="Times New Roman" w:hAnsi="Times New Roman" w:eastAsia="仿宋_GB2312" w:cs="Times New Roman"/>
          <w:color w:val="000000"/>
          <w:sz w:val="30"/>
          <w:szCs w:val="30"/>
        </w:rPr>
        <w:t>。</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rPr>
          <w:color w:val="000000"/>
        </w:rPr>
        <w:fldChar w:fldCharType="begin"/>
      </w:r>
      <w:r>
        <w:rPr>
          <w:color w:val="000000"/>
        </w:rPr>
        <w:instrText xml:space="preserve">HYPERLINK "http://www.safe.gov.cn/" </w:instrText>
      </w:r>
      <w:r>
        <w:rPr>
          <w:color w:val="000000"/>
        </w:rPr>
        <w:fldChar w:fldCharType="separate"/>
      </w:r>
      <w:r>
        <w:rPr>
          <w:rFonts w:eastAsia="仿宋_GB2312"/>
          <w:color w:val="000000"/>
          <w:spacing w:val="-4"/>
          <w:sz w:val="30"/>
          <w:szCs w:val="30"/>
        </w:rPr>
        <w:t>www.safe.gov.cn</w:t>
      </w:r>
      <w:r>
        <w:rPr>
          <w:color w:val="000000"/>
        </w:rPr>
        <w:fldChar w:fldCharType="end"/>
      </w:r>
      <w:r>
        <w:rPr>
          <w:rFonts w:eastAsia="仿宋_GB2312"/>
          <w:color w:val="000000"/>
          <w:sz w:val="30"/>
          <w:szCs w:val="30"/>
        </w:rPr>
        <w:t>。</w:t>
      </w:r>
    </w:p>
    <w:p>
      <w:pPr>
        <w:ind w:firstLine="600"/>
        <w:rPr>
          <w:rFonts w:ascii="Times New Roman" w:hAnsi="Times New Roman" w:eastAsia="仿宋_GB2312" w:cs="Times New Roman"/>
          <w:color w:val="000000"/>
          <w:sz w:val="30"/>
          <w:szCs w:val="30"/>
          <w:highlight w:val="yellow"/>
        </w:rPr>
      </w:pPr>
      <w:r>
        <w:rPr>
          <w:rFonts w:eastAsia="仿宋_GB2312"/>
          <w:color w:val="000000"/>
          <w:sz w:val="30"/>
          <w:szCs w:val="30"/>
        </w:rPr>
        <w:t>向外汇局</w:t>
      </w:r>
      <w:r>
        <w:rPr>
          <w:rFonts w:hint="eastAsia" w:eastAsia="仿宋_GB2312"/>
          <w:color w:val="000000"/>
          <w:sz w:val="30"/>
          <w:szCs w:val="30"/>
        </w:rPr>
        <w:t>吉林省分局及各市（州）中心支局</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eastAsia="仿宋_GB2312"/>
          <w:color w:val="000000"/>
          <w:sz w:val="30"/>
          <w:szCs w:val="30"/>
        </w:rPr>
        <w:t>www.safe.gov.cn/jilin</w:t>
      </w:r>
      <w:r>
        <w:rPr>
          <w:color w:val="000000"/>
        </w:rP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3.乘车路线。公交车40、631、944、977、运通102、运通103路航天桥南站下车，位于航天桥东南角。</w:t>
      </w:r>
    </w:p>
    <w:p>
      <w:pPr>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4.初审业务</w:t>
      </w:r>
      <w:r>
        <w:rPr>
          <w:rFonts w:eastAsia="仿宋_GB2312"/>
          <w:color w:val="000000"/>
          <w:sz w:val="30"/>
          <w:szCs w:val="30"/>
        </w:rPr>
        <w:t>由国家外汇管理局分支局办理，</w:t>
      </w:r>
      <w:r>
        <w:rPr>
          <w:rFonts w:hint="eastAsia" w:eastAsia="仿宋_GB2312"/>
          <w:color w:val="000000"/>
          <w:sz w:val="30"/>
          <w:szCs w:val="30"/>
        </w:rPr>
        <w:t>国家外汇管理局吉林省各市（州）中心支局的</w:t>
      </w:r>
      <w:r>
        <w:rPr>
          <w:rFonts w:eastAsia="仿宋_GB2312"/>
          <w:color w:val="000000"/>
          <w:sz w:val="30"/>
          <w:szCs w:val="30"/>
        </w:rPr>
        <w:t>办公地址和办公时间见</w:t>
      </w:r>
      <w:r>
        <w:rPr>
          <w:rFonts w:hint="eastAsia" w:eastAsia="仿宋_GB2312"/>
          <w:color w:val="000000"/>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七</w:t>
      </w:r>
      <w:r>
        <w:rPr>
          <w:rFonts w:ascii="Times New Roman" w:hAnsi="Times New Roman" w:eastAsia="黑体" w:cs="Times New Roman"/>
          <w:color w:val="000000"/>
          <w:sz w:val="30"/>
          <w:szCs w:val="30"/>
        </w:rPr>
        <w:t>）公开查询</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办理时限结束之日后，申请人可通过电话查询。</w:t>
      </w:r>
    </w:p>
    <w:p>
      <w:pPr>
        <w:adjustRightInd w:val="0"/>
        <w:snapToGrid w:val="0"/>
        <w:spacing w:line="360" w:lineRule="auto"/>
        <w:rPr>
          <w:rFonts w:ascii="Times New Roman" w:hAnsi="Times New Roman" w:eastAsia="仿宋_GB2312" w:cs="Times New Roman"/>
          <w:color w:val="000000"/>
          <w:sz w:val="30"/>
          <w:szCs w:val="30"/>
        </w:rPr>
      </w:pPr>
      <w:bookmarkStart w:id="0" w:name="_GoBack"/>
      <w:bookmarkEnd w:id="0"/>
      <w:r>
        <w:rPr>
          <w:rFonts w:ascii="Times New Roman" w:hAnsi="Times New Roman" w:cs="Times New Roman"/>
          <w:color w:val="000000"/>
        </w:rPr>
        <w:br w:type="page"/>
      </w: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kern w:val="2"/>
          <w:sz w:val="30"/>
          <w:szCs w:val="30"/>
          <w:lang w:val="en-US" w:eastAsia="zh-CN" w:bidi="ar-SA"/>
        </w:rPr>
        <w:pict>
          <v:group id="组合 1026" o:spid="_x0000_s1027" style="position:absolute;left:0;margin-left:-41.25pt;margin-top:27.05pt;height:681.4pt;width:470.35pt;rotation:0f;z-index:251658240;" coordorigin="1425,1526" coordsize="9407,13628">
            <o:lock v:ext="edit" position="f" selection="f" grouping="f" rotation="f" cropping="f" text="f" aspectratio="f"/>
            <v:shape id="AutoShape 3" o:spid="_x0000_s1028" type="#_x0000_t32" style="position:absolute;left:6601;top:11865;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28" o:spid="_x0000_s1029" style="position:absolute;left:1425;top:1526;height:13628;width:9407;rotation:0f;" coordorigin="1425,1526" coordsize="9407,13628">
              <o:lock v:ext="edit" position="f" selection="f" grouping="f" rotation="f" cropping="f" text="f" aspectratio="f"/>
              <v:shape id="AutoShape 5" o:spid="_x0000_s1030" type="#_x0000_t32" style="position:absolute;left:9019;top:12580;height:62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 o:spid="_x0000_s1031" type="#_x0000_t32" style="position:absolute;left:4049;top:12580;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1" o:spid="_x0000_s1032" style="position:absolute;left:1425;top:1526;height:13628;width:9407;rotation:0f;" coordorigin="1425,1526" coordsize="9407,13628">
                <o:lock v:ext="edit" position="f" selection="f" grouping="f" rotation="f" cropping="f" text="f" aspectratio="f"/>
                <v:rect id="Rectangle 8" o:spid="_x0000_s1033"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组合 1033" o:spid="_x0000_s1034" style="position:absolute;left:1425;top:1526;height:13628;width:9407;rotation:0f;" coordorigin="1425,1526" coordsize="9407,13628">
                  <o:lock v:ext="edit" position="f" selection="f" grouping="f" rotation="f" cropping="f" text="f" aspectratio="f"/>
                  <v:shape id="AutoShape 10" o:spid="_x0000_s1035"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6"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7" type="#_x0000_t32" style="position:absolute;left:4035;top:12580;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13" o:spid="_x0000_s1038"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49;top:14006;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5" o:spid="_x0000_s1040" type="#_x0000_t32" style="position:absolute;left:6647;top:10960;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40" o:spid="_x0000_s1041" style="position:absolute;left:1425;top:1526;height:11606;width:9131;rotation:0f;" coordorigin="1425,1526" coordsize="9131,11606">
                    <o:lock v:ext="edit" position="f" selection="f" grouping="f" rotation="f" cropping="f" text="f" aspectratio="f"/>
                    <v:shape id="AutoShape 17" o:spid="_x0000_s1042"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8" o:spid="_x0000_s1043"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3" o:spid="_x0000_s1044" style="position:absolute;left:1425;top:2261;height:6416;width:9131;rotation:0f;" coordorigin="1425,2301" coordsize="9131,6416">
                      <o:lock v:ext="edit" position="f" selection="f" grouping="f" rotation="f" cropping="f" text="f" aspectratio="f"/>
                      <v:shape id="AutoShape 20" o:spid="_x0000_s1045" type="#_x0000_t34" style="position:absolute;left:8014;top:4167;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5" o:spid="_x0000_s1046" style="position:absolute;left:1425;top:2301;height:6416;width:9131;rotation:0f;" coordorigin="1446,3821" coordsize="9131,6416">
                        <o:lock v:ext="edit" position="f" selection="f" grouping="f" rotation="f" cropping="f" text="f" aspectratio="f"/>
                        <v:shape id="AutoShape 22" o:spid="_x0000_s1047"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3" o:spid="_x0000_s1048"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9"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5" o:spid="_x0000_s1050"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6" o:spid="_x0000_s1051"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2"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8" o:spid="_x0000_s1053"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4"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5" type="#_x0000_t32" style="position:absolute;left:4668;top:5550;height:0;width:99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2" o:spid="_x0000_s1057"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8"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9"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5" o:spid="_x0000_s1060"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1"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2"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3"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4" type="#_x0000_t32" style="position:absolute;left:9231;top:4464;flip:x;height:20;width:134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40" o:spid="_x0000_s1065"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1" o:spid="_x0000_s1066"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7"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8"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9" type="#_x0000_t32" style="position:absolute;left:9825;top:10105;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color w:val="000000"/>
          <w:sz w:val="30"/>
          <w:szCs w:val="30"/>
        </w:rPr>
        <w:t>基本流程图</w: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附录二           </w:t>
      </w:r>
    </w:p>
    <w:p>
      <w:pPr>
        <w:widowControl/>
        <w:jc w:val="center"/>
        <w:rPr>
          <w:rFonts w:ascii="Times New Roman" w:hAnsi="Times New Roman" w:eastAsia="黑体" w:cs="Times New Roman"/>
          <w:color w:val="000000"/>
          <w:sz w:val="30"/>
          <w:szCs w:val="30"/>
        </w:rPr>
      </w:pPr>
      <w:r>
        <w:rPr>
          <w:rFonts w:ascii="Times New Roman" w:hAnsi="黑体" w:eastAsia="黑体" w:cs="Times New Roman"/>
          <w:color w:val="000000"/>
          <w:sz w:val="30"/>
          <w:szCs w:val="30"/>
        </w:rPr>
        <w:t>常见问题</w:t>
      </w:r>
    </w:p>
    <w:p>
      <w:pPr>
        <w:widowControl/>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adjustRightInd w:val="0"/>
        <w:snapToGrid w:val="0"/>
        <w:spacing w:line="360" w:lineRule="auto"/>
        <w:rPr>
          <w:rFonts w:ascii="Times New Roman" w:hAnsi="Times New Roman" w:cs="Times New Roman"/>
          <w:color w:val="000000"/>
        </w:rPr>
      </w:pPr>
    </w:p>
    <w:sectPr>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Words>
  <Characters>3113</Characters>
  <Lines>25</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pc</cp:lastModifiedBy>
  <cp:lastPrinted>2017-12-26T09:10:00Z</cp:lastPrinted>
  <dcterms:modified xsi:type="dcterms:W3CDTF">2021-04-23T04:20:56Z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