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编号：</w:t>
      </w:r>
      <w:r>
        <w:rPr>
          <w:rFonts w:hint="eastAsia" w:ascii="Times New Roman" w:hAnsi="Times New Roman" w:eastAsia="黑体" w:cs="Times New Roman"/>
          <w:sz w:val="48"/>
          <w:szCs w:val="48"/>
        </w:rPr>
        <w:t>000171112004</w:t>
      </w: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</w:t>
      </w:r>
      <w:r>
        <w:rPr>
          <w:rFonts w:ascii="Times New Roman" w:hAnsi="Times New Roman" w:eastAsia="黑体" w:cs="Times New Roman"/>
          <w:sz w:val="48"/>
          <w:szCs w:val="48"/>
        </w:rPr>
        <w:pict>
          <v:shape id="_x0000_i1025" o:spt="75" type="#_x0000_t75" style="height:69.75pt;width:87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</w:t>
      </w:r>
      <w:r>
        <w:rPr>
          <w:rFonts w:hint="eastAsia" w:ascii="Times New Roman" w:hAnsi="Times New Roman" w:eastAsia="黑体" w:cs="Times New Roman"/>
          <w:sz w:val="52"/>
          <w:szCs w:val="52"/>
        </w:rPr>
        <w:t>政策性银行、全国性商业银行以外其他银行总行（含外国银行分行）即期结售汇业务市场准入审批</w:t>
      </w:r>
      <w:r>
        <w:rPr>
          <w:rFonts w:ascii="Times New Roman" w:hAnsi="Times New Roman" w:eastAsia="黑体" w:cs="Times New Roman"/>
          <w:sz w:val="52"/>
          <w:szCs w:val="52"/>
        </w:rPr>
        <w:t>”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发布日期：20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实施日期：20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江苏省分局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1.行政许可事项名称及编码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经营或者终止结售汇业务审批【00017111200Y】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2.行政许可事项子项名称及编码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政策性银行、全国性商业银行以外其他银行总行（含外国银行分行）即期结售汇业务市场准入审批【000171112004】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3.行政许可事项业务办理项名称及编码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政策性银行、全国性商业银行以外其他银行总行（含外国银行分行）即期结售汇业务市场准入审批（00017111200401）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政策性银行、全国性商业银行以外其他银行总行（含外国银行分行）即期结售汇业务市场准入审批</w:t>
      </w:r>
      <w:r>
        <w:rPr>
          <w:rFonts w:ascii="Times New Roman" w:hAnsi="Times New Roman" w:eastAsia="仿宋_GB2312" w:cs="Times New Roman"/>
          <w:sz w:val="30"/>
          <w:szCs w:val="30"/>
        </w:rPr>
        <w:t>”的申请和办理。</w:t>
      </w:r>
    </w:p>
    <w:p>
      <w:pPr>
        <w:tabs>
          <w:tab w:val="left" w:pos="3718"/>
        </w:tabs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adjustRightInd w:val="0"/>
        <w:snapToGrid w:val="0"/>
        <w:spacing w:line="360" w:lineRule="auto"/>
        <w:ind w:firstLine="585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中华人民共和国外汇管理条例》（国务院令第532号）第二十四条：“金融机构经营或者终止经营结汇、售汇业务，应当经外汇管理机关批准；经营或者终止经营其他外汇业务，应当按照职责分工经外汇管理机关或者金融业监督管理机构批准”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sz w:val="30"/>
          <w:szCs w:val="30"/>
        </w:rPr>
        <w:t>四、</w:t>
      </w:r>
      <w:r>
        <w:rPr>
          <w:rFonts w:ascii="Times New Roman" w:hAnsi="Times New Roman" w:eastAsia="黑体" w:cs="Times New Roman"/>
          <w:sz w:val="30"/>
          <w:szCs w:val="30"/>
          <w:highlight w:val="none"/>
        </w:rPr>
        <w:t>办理依据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《银行办理结售汇业务管理办法》（中国人民银行令2014年2号）第二条、第三条</w:t>
      </w:r>
      <w:r>
        <w:rPr>
          <w:rFonts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《银行办理结售汇业务管理办法实施细则》（汇发〔2014〕53号文印发）第六条、第九条</w:t>
      </w:r>
      <w:r>
        <w:rPr>
          <w:rFonts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《国家外汇管理局行政许可实施办法》（国家外汇管理局公告2021年第1号）全文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eastAsia="zh-CN"/>
        </w:rPr>
        <w:t>五、</w:t>
      </w:r>
      <w:r>
        <w:rPr>
          <w:rFonts w:ascii="Times New Roman" w:hAnsi="Times New Roman" w:eastAsia="黑体" w:cs="Times New Roman"/>
          <w:sz w:val="30"/>
          <w:szCs w:val="30"/>
          <w:highlight w:val="none"/>
        </w:rPr>
        <w:t>受理机构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申请人</w:t>
      </w:r>
      <w:r>
        <w:rPr>
          <w:rFonts w:ascii="Times New Roman" w:hAnsi="Times New Roman" w:eastAsia="仿宋_GB2312" w:cs="Times New Roman"/>
          <w:sz w:val="30"/>
          <w:szCs w:val="30"/>
        </w:rPr>
        <w:t>所在地国家外汇管理局分局（外汇管理部）。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eastAsia="zh-CN"/>
        </w:rPr>
        <w:t>六、</w:t>
      </w:r>
      <w:r>
        <w:rPr>
          <w:rFonts w:ascii="Times New Roman" w:hAnsi="Times New Roman" w:eastAsia="黑体" w:cs="Times New Roman"/>
          <w:sz w:val="30"/>
          <w:szCs w:val="30"/>
          <w:highlight w:val="none"/>
        </w:rPr>
        <w:t>决定机构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申请人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所在地国家外汇管理局分局（外汇管理部）。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eastAsia="zh-CN"/>
        </w:rPr>
        <w:t>七、</w:t>
      </w:r>
      <w:r>
        <w:rPr>
          <w:rFonts w:ascii="Times New Roman" w:hAnsi="Times New Roman" w:eastAsia="黑体" w:cs="Times New Roman"/>
          <w:sz w:val="30"/>
          <w:szCs w:val="30"/>
          <w:highlight w:val="none"/>
        </w:rPr>
        <w:t>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八、</w:t>
      </w:r>
      <w:r>
        <w:rPr>
          <w:rFonts w:ascii="Times New Roman" w:hAnsi="Times New Roman" w:eastAsia="黑体" w:cs="Times New Roman"/>
          <w:sz w:val="30"/>
          <w:szCs w:val="30"/>
        </w:rPr>
        <w:t>办事条件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1.具有金融业务资格。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2.具备完善的业务管理制度。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3.具备办理业务所必需的软硬件设备。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4.拥有具备相应业务工作经验的高级管理人员和业务人员。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银行需银行业监督管理部门批准外汇业务经营资格的，还应具备相应的外汇业务经营资格。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九、</w:t>
      </w:r>
      <w:r>
        <w:rPr>
          <w:rFonts w:hint="eastAsia" w:ascii="Times New Roman" w:hAnsi="Times New Roman" w:eastAsia="黑体" w:cs="Times New Roman"/>
          <w:sz w:val="30"/>
          <w:szCs w:val="30"/>
        </w:rPr>
        <w:t>申请材料</w:t>
      </w:r>
    </w:p>
    <w:tbl>
      <w:tblPr>
        <w:tblStyle w:val="1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992"/>
        <w:gridCol w:w="567"/>
        <w:gridCol w:w="850"/>
        <w:gridCol w:w="212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办理结售汇业务的申请报告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《金融许可证》复印件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银行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公章的复印件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办理结售汇业务的内部管理规章制度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应至少包括以下内容：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售汇业务操作规程、结售汇业务单证管理制度、结售汇业务统计报告制度、结售汇综合头寸管理制度、结售汇业务会计科目和核算办法、结售汇业务内部审计制度和从业人员岗位责任制度、结售汇业务授权管理制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具备办理业务所必需的软硬件设备的说明材料。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拥有具备相应业务工作经验的高级管理人员和业务人员的说明材料。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需要经银行业监督管理部门批准外汇业务经营资格的，还应提交外汇业务许可文件的复印件。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银行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公章的复印件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600" w:firstLineChars="200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十、</w:t>
      </w:r>
      <w:r>
        <w:rPr>
          <w:rFonts w:ascii="Times New Roman" w:hAnsi="Times New Roman" w:eastAsia="黑体" w:cs="Times New Roman"/>
          <w:sz w:val="30"/>
          <w:szCs w:val="30"/>
        </w:rPr>
        <w:t>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现场</w:t>
      </w:r>
      <w:r>
        <w:rPr>
          <w:rFonts w:ascii="Times New Roman" w:hAnsi="Times New Roman" w:eastAsia="仿宋_GB2312" w:cs="Times New Roman"/>
          <w:sz w:val="30"/>
          <w:szCs w:val="30"/>
        </w:rPr>
        <w:t>、邮寄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、国家外汇管理局政务服务网上办理系统（http://zwfw.safe.gov.cn/asone</w:t>
      </w:r>
      <w:r>
        <w:rPr>
          <w:rFonts w:ascii="Times New Roman" w:hAnsi="Times New Roman" w:eastAsia="仿宋_GB2312" w:cs="Times New Roman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等方式提交材料。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十一、</w:t>
      </w:r>
      <w:r>
        <w:rPr>
          <w:rFonts w:ascii="Times New Roman" w:hAnsi="Times New Roman" w:eastAsia="黑体" w:cs="Times New Roman"/>
          <w:sz w:val="30"/>
          <w:szCs w:val="30"/>
        </w:rPr>
        <w:t>基本办理流程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审批机构</w:t>
      </w:r>
      <w:r>
        <w:rPr>
          <w:rFonts w:ascii="Times New Roman" w:hAnsi="Times New Roman" w:eastAsia="仿宋_GB2312" w:cs="Times New Roman"/>
          <w:sz w:val="30"/>
          <w:szCs w:val="30"/>
        </w:rPr>
        <w:t>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3.不予受理的，出具不予受理通知书；受理的，出具受理通知书，进行审查报批；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4.不予许可的，出具不予许可通知书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许可的，向申请人出具正式公文或备案表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5.材料不全或不符合法定形式的，一次性告知补正材料，并出具《行政许可补正通知书》。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十二、</w:t>
      </w:r>
      <w:r>
        <w:rPr>
          <w:rFonts w:ascii="Times New Roman" w:hAnsi="Times New Roman" w:eastAsia="黑体" w:cs="Times New Roman"/>
          <w:sz w:val="30"/>
          <w:szCs w:val="30"/>
        </w:rPr>
        <w:t>办理方式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一般程序：申请、受理、审查、出具正式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批准文件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十三、</w:t>
      </w:r>
      <w:r>
        <w:rPr>
          <w:rFonts w:ascii="Times New Roman" w:hAnsi="Times New Roman" w:eastAsia="黑体" w:cs="Times New Roman"/>
          <w:sz w:val="30"/>
          <w:szCs w:val="30"/>
        </w:rPr>
        <w:t>审批时限</w:t>
      </w:r>
    </w:p>
    <w:p>
      <w:pPr>
        <w:adjustRightInd w:val="0"/>
        <w:snapToGrid w:val="0"/>
        <w:spacing w:line="360" w:lineRule="auto"/>
        <w:ind w:left="582" w:leftChars="277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20个工作日。办理过程中所需的现场验收等，不计入时限。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十四、</w:t>
      </w:r>
      <w:r>
        <w:rPr>
          <w:rFonts w:ascii="Times New Roman" w:hAnsi="Times New Roman" w:eastAsia="黑体" w:cs="Times New Roman"/>
          <w:sz w:val="30"/>
          <w:szCs w:val="30"/>
        </w:rPr>
        <w:t>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十五、</w:t>
      </w:r>
      <w:r>
        <w:rPr>
          <w:rFonts w:ascii="Times New Roman" w:hAnsi="Times New Roman" w:eastAsia="黑体" w:cs="Times New Roman"/>
          <w:sz w:val="30"/>
          <w:szCs w:val="30"/>
        </w:rPr>
        <w:t>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批准文件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十六、</w:t>
      </w:r>
      <w:r>
        <w:rPr>
          <w:rFonts w:ascii="Times New Roman" w:hAnsi="Times New Roman" w:eastAsia="黑体" w:cs="Times New Roman"/>
          <w:sz w:val="30"/>
          <w:szCs w:val="30"/>
        </w:rPr>
        <w:t>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通过现场告知或电话通知申请人，并通过现场领取或邮寄方式将结果送达。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十七、</w:t>
      </w:r>
      <w:r>
        <w:rPr>
          <w:rFonts w:ascii="Times New Roman" w:hAnsi="Times New Roman" w:eastAsia="黑体" w:cs="Times New Roman"/>
          <w:sz w:val="30"/>
          <w:szCs w:val="30"/>
        </w:rPr>
        <w:t>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十八、</w:t>
      </w:r>
      <w:r>
        <w:rPr>
          <w:rFonts w:ascii="Times New Roman" w:hAnsi="Times New Roman" w:eastAsia="黑体" w:cs="Times New Roman"/>
          <w:sz w:val="30"/>
          <w:szCs w:val="30"/>
        </w:rPr>
        <w:t>事项审查类型</w:t>
      </w:r>
    </w:p>
    <w:p>
      <w:pPr>
        <w:adjustRightInd w:val="0"/>
        <w:snapToGrid w:val="0"/>
        <w:spacing w:line="360" w:lineRule="auto"/>
        <w:ind w:firstLine="6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前审后批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十九、</w:t>
      </w:r>
      <w:r>
        <w:rPr>
          <w:rFonts w:hint="eastAsia" w:ascii="Times New Roman" w:hAnsi="Times New Roman" w:eastAsia="黑体" w:cs="Times New Roman"/>
          <w:sz w:val="30"/>
          <w:szCs w:val="30"/>
        </w:rPr>
        <w:t>咨询途径、监督和投诉、办公地址和时间、公开查询方式等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注册所在地外汇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局进行咨询、办理进程查询、监督和投诉等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可通过国家外汇管理局官方互联网站www.safe.gov.cn链接至江苏分局“业务指南”栏目中公布的电话进行。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二十、</w:t>
      </w:r>
      <w:r>
        <w:rPr>
          <w:rFonts w:ascii="Times New Roman" w:hAnsi="Times New Roman" w:eastAsia="黑体" w:cs="Times New Roman"/>
          <w:sz w:val="30"/>
          <w:szCs w:val="30"/>
        </w:rPr>
        <w:t>禁止性要求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如符合上述条件，不存在不予许可的情况。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二十一、</w:t>
      </w:r>
      <w:r>
        <w:rPr>
          <w:rFonts w:ascii="Times New Roman" w:hAnsi="Times New Roman" w:eastAsia="黑体" w:cs="Times New Roman"/>
          <w:sz w:val="30"/>
          <w:szCs w:val="30"/>
        </w:rPr>
        <w:t>申请材料示范文本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无固定格式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，有关内容要求详见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“九、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申请材料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二十二、</w:t>
      </w:r>
      <w:r>
        <w:rPr>
          <w:rFonts w:ascii="Times New Roman" w:hAnsi="Times New Roman" w:eastAsia="黑体" w:cs="Times New Roman"/>
          <w:sz w:val="30"/>
          <w:szCs w:val="30"/>
        </w:rPr>
        <w:t>常见问题解答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审批时限在20个工作日以内。但办理过程中所需的现场验收等，不计入时限。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二十三、</w:t>
      </w:r>
      <w:r>
        <w:rPr>
          <w:rFonts w:ascii="Times New Roman" w:hAnsi="Times New Roman" w:eastAsia="黑体" w:cs="Times New Roman"/>
          <w:sz w:val="30"/>
          <w:szCs w:val="30"/>
        </w:rPr>
        <w:t>常见错误示例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  <w:szCs w:val="30"/>
        </w:rPr>
        <w:t>申请材料不完全符合规定，例如《金融许可证》复印件未加盖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银行</w:t>
      </w:r>
      <w:r>
        <w:rPr>
          <w:rFonts w:ascii="Times New Roman" w:hAnsi="Times New Roman" w:eastAsia="仿宋_GB2312" w:cs="Times New Roman"/>
          <w:sz w:val="30"/>
          <w:szCs w:val="30"/>
        </w:rPr>
        <w:t>公章等。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pict>
          <v:rect id="Rectangle 399" o:spid="_x0000_s1027" o:spt="1" style="position:absolute;left:0pt;margin-left:-1.45pt;margin-top:0.15pt;height:68.9pt;width:148.4pt;z-index:25167564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before="34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申请人以现场、邮寄、国家外汇管理局政务服务网上办理系统等提出书面申请，并提交材料</w:t>
                  </w:r>
                </w:p>
                <w:p/>
              </w:txbxContent>
            </v:textbox>
          </v:rect>
        </w:pic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pict>
          <v:rect id="Rectangle 394" o:spid="_x0000_s1028" o:spt="1" style="position:absolute;left:0pt;margin-left:273.6pt;margin-top:26.7pt;height:39.8pt;width:104.7pt;z-index:25167052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申请人补全材料</w:t>
                  </w:r>
                </w:p>
                <w:p/>
              </w:txbxContent>
            </v:textbox>
          </v:rect>
        </w:pic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7" o:spid="_x0000_s1029" o:spt="32" type="#_x0000_t32" style="position:absolute;left:0pt;flip:x;margin-left:41.45pt;margin-top:21.05pt;height:0.05pt;width:232.15pt;z-index:251663360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3" o:spid="_x0000_s1030" o:spt="32" type="#_x0000_t32" style="position:absolute;left:0pt;margin-left:40.6pt;margin-top:6.65pt;height:73.4pt;width:0.85pt;z-index:251659264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</w:p>
    <w:p>
      <w:pPr>
        <w:ind w:right="300"/>
        <w:jc w:val="lef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92" o:spid="_x0000_s1031" o:spt="32" type="#_x0000_t32" style="position:absolute;left:0pt;margin-left:40.6pt;margin-top:182.85pt;height:0.05pt;width:41.1pt;z-index:251668480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91" o:spid="_x0000_s1032" o:spt="32" type="#_x0000_t32" style="position:absolute;left:0pt;margin-left:40.6pt;margin-top:113.3pt;height:69.55pt;width:0.05pt;z-index:251667456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5" o:spid="_x0000_s1033" o:spt="32" type="#_x0000_t32" style="position:absolute;left:0pt;margin-left:93.35pt;margin-top:101.65pt;height:0.05pt;width:58.6pt;z-index:251661312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9" o:spid="_x0000_s1034" o:spt="32" type="#_x0000_t32" style="position:absolute;left:0pt;margin-left:237.35pt;margin-top:253.15pt;height:45.25pt;width:0.85pt;z-index:251665408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90" o:spid="_x0000_s1035" o:spt="32" type="#_x0000_t32" style="position:absolute;left:0pt;margin-left:131.6pt;margin-top:253.15pt;height:45.25pt;width:0.05pt;z-index:251666432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8" o:spid="_x0000_s1036" o:spt="32" type="#_x0000_t32" style="position:absolute;left:0pt;margin-left:179.6pt;margin-top:204.6pt;height:21.85pt;width:0.05pt;z-index:251664384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</w:p>
    <w:p>
      <w:pPr>
        <w:ind w:right="300"/>
        <w:rPr>
          <w:rFonts w:ascii="Times New Roman" w:hAnsi="Times New Roman" w:eastAsia="黑体" w:cs="Times New Roman"/>
          <w:sz w:val="48"/>
          <w:szCs w:val="48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4" o:spid="_x0000_s1037" o:spt="32" type="#_x0000_t32" style="position:absolute;left:0pt;margin-left:89.25pt;margin-top:61.45pt;height:0.05pt;width:62.7pt;z-index:251660288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401" o:spid="_x0000_s1038" o:spt="1" style="position:absolute;left:0pt;margin-left:199.5pt;margin-top:298.4pt;height:58.6pt;width:87.35pt;z-index:25167769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依法作出不予许可决定，并送达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400" o:spid="_x0000_s1039" o:spt="1" style="position:absolute;left:0pt;margin-left:81.65pt;margin-top:298.4pt;height:58.6pt;width:87.35pt;z-index:25167667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予以许可，向申请人出具正式</w:t>
                  </w:r>
                  <w:r>
                    <w:rPr>
                      <w:rFonts w:hint="eastAsia"/>
                      <w:lang w:eastAsia="zh-CN"/>
                    </w:rPr>
                    <w:t>批准文件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398" o:spid="_x0000_s1040" o:spt="1" style="position:absolute;left:0pt;margin-left:81.7pt;margin-top:226.45pt;height:26.7pt;width:212.6pt;z-index:2516746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审查报批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397" o:spid="_x0000_s1041" o:spt="1" style="position:absolute;left:0pt;margin-left:81.65pt;margin-top:174.45pt;height:30.15pt;width:205.2pt;z-index:25167360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依法应予受理，出具受理单</w:t>
                  </w:r>
                </w:p>
              </w:txbxContent>
            </v:textbox>
          </v:rect>
        </w:pict>
      </w:r>
      <w:r>
        <w:rPr>
          <w:rFonts w:ascii="Times New Roman" w:hAnsi="Times New Roman" w:eastAsia="仿宋_GB2312" w:cs="Times New Roman"/>
          <w:sz w:val="30"/>
          <w:szCs w:val="30"/>
        </w:rPr>
        <w:pict>
          <v:shape id="Straight Connector 386" o:spid="_x0000_s1042" o:spt="32" type="#_x0000_t32" style="position:absolute;left:0pt;flip:y;margin-left:319.55pt;margin-top:4.1pt;height:44.75pt;width:0.05pt;z-index:251662336;mso-width-relative:page;mso-height-relative:page;" o:connectortype="straight" filled="f" o:preferrelative="t" coordsize="21600,21600">
            <v:path arrowok="t"/>
            <v:fill on="f" focussize="0,0"/>
            <v:stroke miterlimit="2" endarrow="block"/>
            <v:imagedata o:title=""/>
            <o:lock v:ext="edit"/>
          </v:shape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396" o:spid="_x0000_s1043" o:spt="1" style="position:absolute;left:0pt;margin-left:151.95pt;margin-top:91.45pt;height:45.3pt;width:268.1pt;z-index:25167257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依法不予受理的，作出不予受理决定，出具不予受理通知书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rect id="Rectangle 395" o:spid="_x0000_s1044" o:spt="1" style="position:absolute;left:0pt;margin-left:151.95pt;margin-top:48.85pt;height:25pt;width:268.1pt;z-index:25167155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材料不全或不符合法定形式的，一次性告知补正材料</w:t>
                  </w:r>
                </w:p>
                <w:p/>
              </w:txbxContent>
            </v:textbox>
          </v:rect>
        </w:pict>
      </w:r>
      <w:r>
        <w:rPr>
          <w:rFonts w:ascii="Times New Roman" w:hAnsi="Times New Roman" w:eastAsia="黑体" w:cs="Times New Roman"/>
          <w:sz w:val="48"/>
          <w:szCs w:val="48"/>
        </w:rPr>
        <w:pict>
          <v:shape id="Flowchart: Decision 393" o:spid="_x0000_s1045" o:spt="110" type="#_x0000_t110" style="position:absolute;left:0pt;margin-left:-39.65pt;margin-top:35.35pt;height:94.45pt;width:163.7pt;z-index:25166950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接件并当场（或5个工作日）作出是否受理决定</w:t>
                  </w:r>
                </w:p>
                <w:p/>
              </w:txbxContent>
            </v:textbox>
          </v:shape>
        </w:pict>
      </w:r>
    </w:p>
    <w:p>
      <w:pPr>
        <w:widowControl/>
        <w:jc w:val="left"/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191</w:t>
    </w:r>
    <w:r>
      <w:rPr>
        <w:lang w:val="zh-CN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131E"/>
    <w:rsid w:val="00000F77"/>
    <w:rsid w:val="00003372"/>
    <w:rsid w:val="00022191"/>
    <w:rsid w:val="00023783"/>
    <w:rsid w:val="000247F5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84C01"/>
    <w:rsid w:val="00091661"/>
    <w:rsid w:val="00092D53"/>
    <w:rsid w:val="00096CBB"/>
    <w:rsid w:val="00097F7B"/>
    <w:rsid w:val="000B2B1C"/>
    <w:rsid w:val="000B6901"/>
    <w:rsid w:val="000B728B"/>
    <w:rsid w:val="000C15B3"/>
    <w:rsid w:val="000C2B33"/>
    <w:rsid w:val="000C6C10"/>
    <w:rsid w:val="000D0A1D"/>
    <w:rsid w:val="000D1995"/>
    <w:rsid w:val="000D7478"/>
    <w:rsid w:val="000E4F85"/>
    <w:rsid w:val="0012271F"/>
    <w:rsid w:val="00127A16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81FAD"/>
    <w:rsid w:val="00196FAE"/>
    <w:rsid w:val="001A3E49"/>
    <w:rsid w:val="001A72AA"/>
    <w:rsid w:val="001B1E2C"/>
    <w:rsid w:val="001B7AA8"/>
    <w:rsid w:val="001C44C7"/>
    <w:rsid w:val="001D65A2"/>
    <w:rsid w:val="001E1407"/>
    <w:rsid w:val="001E7A1C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773"/>
    <w:rsid w:val="00263B1F"/>
    <w:rsid w:val="00291C17"/>
    <w:rsid w:val="0029313A"/>
    <w:rsid w:val="002B0B1C"/>
    <w:rsid w:val="002B598D"/>
    <w:rsid w:val="002B61C1"/>
    <w:rsid w:val="002C3539"/>
    <w:rsid w:val="002D4BEB"/>
    <w:rsid w:val="002E1323"/>
    <w:rsid w:val="002E6E2B"/>
    <w:rsid w:val="002F3868"/>
    <w:rsid w:val="00302119"/>
    <w:rsid w:val="00302E87"/>
    <w:rsid w:val="00310261"/>
    <w:rsid w:val="00325D3D"/>
    <w:rsid w:val="00343044"/>
    <w:rsid w:val="00344B01"/>
    <w:rsid w:val="00353AC4"/>
    <w:rsid w:val="003609CB"/>
    <w:rsid w:val="003616B4"/>
    <w:rsid w:val="003A57B2"/>
    <w:rsid w:val="003C35D1"/>
    <w:rsid w:val="003C7132"/>
    <w:rsid w:val="003D77A5"/>
    <w:rsid w:val="003E6567"/>
    <w:rsid w:val="003E6BF6"/>
    <w:rsid w:val="003F221D"/>
    <w:rsid w:val="003F3097"/>
    <w:rsid w:val="00402AE8"/>
    <w:rsid w:val="00405FE6"/>
    <w:rsid w:val="004061E2"/>
    <w:rsid w:val="004105BC"/>
    <w:rsid w:val="0041722C"/>
    <w:rsid w:val="00421C27"/>
    <w:rsid w:val="00440A1F"/>
    <w:rsid w:val="00443603"/>
    <w:rsid w:val="00443604"/>
    <w:rsid w:val="004501EA"/>
    <w:rsid w:val="00450FD3"/>
    <w:rsid w:val="00460458"/>
    <w:rsid w:val="0046792D"/>
    <w:rsid w:val="004767DF"/>
    <w:rsid w:val="00493CCC"/>
    <w:rsid w:val="004967FB"/>
    <w:rsid w:val="004A0218"/>
    <w:rsid w:val="004A2436"/>
    <w:rsid w:val="004A2BF8"/>
    <w:rsid w:val="004A7840"/>
    <w:rsid w:val="004B545A"/>
    <w:rsid w:val="004B7E80"/>
    <w:rsid w:val="004C457E"/>
    <w:rsid w:val="004C48D5"/>
    <w:rsid w:val="004D03B7"/>
    <w:rsid w:val="004D1436"/>
    <w:rsid w:val="004D57AE"/>
    <w:rsid w:val="00500149"/>
    <w:rsid w:val="005056D4"/>
    <w:rsid w:val="00526B2B"/>
    <w:rsid w:val="0053236D"/>
    <w:rsid w:val="005362B0"/>
    <w:rsid w:val="00542447"/>
    <w:rsid w:val="00557EB9"/>
    <w:rsid w:val="00564312"/>
    <w:rsid w:val="00567664"/>
    <w:rsid w:val="005A2981"/>
    <w:rsid w:val="005B0E36"/>
    <w:rsid w:val="005C6937"/>
    <w:rsid w:val="005C7F02"/>
    <w:rsid w:val="005E573A"/>
    <w:rsid w:val="005F0A86"/>
    <w:rsid w:val="005F144A"/>
    <w:rsid w:val="005F1C00"/>
    <w:rsid w:val="0061621E"/>
    <w:rsid w:val="00630AA8"/>
    <w:rsid w:val="00630B2E"/>
    <w:rsid w:val="00632EDB"/>
    <w:rsid w:val="00643D2A"/>
    <w:rsid w:val="006476F4"/>
    <w:rsid w:val="00664E11"/>
    <w:rsid w:val="00673B30"/>
    <w:rsid w:val="0067722B"/>
    <w:rsid w:val="00696E5D"/>
    <w:rsid w:val="006A0114"/>
    <w:rsid w:val="006B5B86"/>
    <w:rsid w:val="006C5908"/>
    <w:rsid w:val="006C633E"/>
    <w:rsid w:val="006D56AB"/>
    <w:rsid w:val="006D734F"/>
    <w:rsid w:val="006E043F"/>
    <w:rsid w:val="006E10A7"/>
    <w:rsid w:val="006E4695"/>
    <w:rsid w:val="006E4B8B"/>
    <w:rsid w:val="006E5901"/>
    <w:rsid w:val="006F71B6"/>
    <w:rsid w:val="0071091C"/>
    <w:rsid w:val="00714961"/>
    <w:rsid w:val="007166B6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0424"/>
    <w:rsid w:val="00785F45"/>
    <w:rsid w:val="007965CC"/>
    <w:rsid w:val="007A2780"/>
    <w:rsid w:val="007A68EA"/>
    <w:rsid w:val="007B06FC"/>
    <w:rsid w:val="007B0FEF"/>
    <w:rsid w:val="007B2DB5"/>
    <w:rsid w:val="007C65D4"/>
    <w:rsid w:val="007D2C11"/>
    <w:rsid w:val="007D6171"/>
    <w:rsid w:val="007D69EA"/>
    <w:rsid w:val="007E2C7B"/>
    <w:rsid w:val="007E411B"/>
    <w:rsid w:val="007E5E5D"/>
    <w:rsid w:val="007F0863"/>
    <w:rsid w:val="007F2F3B"/>
    <w:rsid w:val="00802307"/>
    <w:rsid w:val="0080281B"/>
    <w:rsid w:val="0082168E"/>
    <w:rsid w:val="00821968"/>
    <w:rsid w:val="00826641"/>
    <w:rsid w:val="008471B6"/>
    <w:rsid w:val="00851521"/>
    <w:rsid w:val="0085686A"/>
    <w:rsid w:val="00860878"/>
    <w:rsid w:val="00862BB5"/>
    <w:rsid w:val="00870125"/>
    <w:rsid w:val="00870627"/>
    <w:rsid w:val="008709A6"/>
    <w:rsid w:val="008731FF"/>
    <w:rsid w:val="0088294A"/>
    <w:rsid w:val="0089282A"/>
    <w:rsid w:val="008A4538"/>
    <w:rsid w:val="008A704B"/>
    <w:rsid w:val="008B08D2"/>
    <w:rsid w:val="008B4EE5"/>
    <w:rsid w:val="008B5807"/>
    <w:rsid w:val="008B7316"/>
    <w:rsid w:val="008C3178"/>
    <w:rsid w:val="008D5CA5"/>
    <w:rsid w:val="008D5FA0"/>
    <w:rsid w:val="008E2D38"/>
    <w:rsid w:val="008F5724"/>
    <w:rsid w:val="008F5900"/>
    <w:rsid w:val="008F69CD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3640B"/>
    <w:rsid w:val="00947C57"/>
    <w:rsid w:val="00951149"/>
    <w:rsid w:val="009526CE"/>
    <w:rsid w:val="00960EDB"/>
    <w:rsid w:val="009622DB"/>
    <w:rsid w:val="009664BC"/>
    <w:rsid w:val="009717A5"/>
    <w:rsid w:val="00980F02"/>
    <w:rsid w:val="00986F87"/>
    <w:rsid w:val="00991B77"/>
    <w:rsid w:val="00997523"/>
    <w:rsid w:val="009A0C5D"/>
    <w:rsid w:val="009B21AF"/>
    <w:rsid w:val="009C4672"/>
    <w:rsid w:val="009C491B"/>
    <w:rsid w:val="009D0911"/>
    <w:rsid w:val="009D24F8"/>
    <w:rsid w:val="009D688C"/>
    <w:rsid w:val="009F7A36"/>
    <w:rsid w:val="00A07DCA"/>
    <w:rsid w:val="00A249C2"/>
    <w:rsid w:val="00A24FAB"/>
    <w:rsid w:val="00A301E7"/>
    <w:rsid w:val="00A42E69"/>
    <w:rsid w:val="00A45CA7"/>
    <w:rsid w:val="00A51415"/>
    <w:rsid w:val="00A53733"/>
    <w:rsid w:val="00A570D6"/>
    <w:rsid w:val="00A6014E"/>
    <w:rsid w:val="00A60356"/>
    <w:rsid w:val="00A741C5"/>
    <w:rsid w:val="00A81DF1"/>
    <w:rsid w:val="00A82111"/>
    <w:rsid w:val="00A90EF3"/>
    <w:rsid w:val="00AA2285"/>
    <w:rsid w:val="00AA7717"/>
    <w:rsid w:val="00AB131E"/>
    <w:rsid w:val="00AB644F"/>
    <w:rsid w:val="00AC3F5E"/>
    <w:rsid w:val="00AC7BC3"/>
    <w:rsid w:val="00AE7ACF"/>
    <w:rsid w:val="00AF2075"/>
    <w:rsid w:val="00B06409"/>
    <w:rsid w:val="00B17D66"/>
    <w:rsid w:val="00B31FD9"/>
    <w:rsid w:val="00B35D3A"/>
    <w:rsid w:val="00B422F1"/>
    <w:rsid w:val="00B71531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E262A"/>
    <w:rsid w:val="00BF4EF0"/>
    <w:rsid w:val="00C02E44"/>
    <w:rsid w:val="00C030C6"/>
    <w:rsid w:val="00C0337D"/>
    <w:rsid w:val="00C147D2"/>
    <w:rsid w:val="00C2075F"/>
    <w:rsid w:val="00C23799"/>
    <w:rsid w:val="00C274C9"/>
    <w:rsid w:val="00C31E02"/>
    <w:rsid w:val="00C54291"/>
    <w:rsid w:val="00C672C3"/>
    <w:rsid w:val="00C712B2"/>
    <w:rsid w:val="00C94325"/>
    <w:rsid w:val="00C97FED"/>
    <w:rsid w:val="00CA1DBB"/>
    <w:rsid w:val="00CA1DF9"/>
    <w:rsid w:val="00CA2622"/>
    <w:rsid w:val="00CA5CBC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03EC"/>
    <w:rsid w:val="00D01626"/>
    <w:rsid w:val="00D02F0F"/>
    <w:rsid w:val="00D33A4D"/>
    <w:rsid w:val="00D33F76"/>
    <w:rsid w:val="00D347FB"/>
    <w:rsid w:val="00D41F5E"/>
    <w:rsid w:val="00D43DC0"/>
    <w:rsid w:val="00D54E56"/>
    <w:rsid w:val="00D6407D"/>
    <w:rsid w:val="00D93E78"/>
    <w:rsid w:val="00DC6E91"/>
    <w:rsid w:val="00DC7514"/>
    <w:rsid w:val="00DD3845"/>
    <w:rsid w:val="00DE6E45"/>
    <w:rsid w:val="00DE6E79"/>
    <w:rsid w:val="00DF2721"/>
    <w:rsid w:val="00E05189"/>
    <w:rsid w:val="00E1687A"/>
    <w:rsid w:val="00E20A2E"/>
    <w:rsid w:val="00E277DE"/>
    <w:rsid w:val="00E27EE9"/>
    <w:rsid w:val="00E3239D"/>
    <w:rsid w:val="00E3254B"/>
    <w:rsid w:val="00E3439B"/>
    <w:rsid w:val="00E42C5F"/>
    <w:rsid w:val="00E52BE4"/>
    <w:rsid w:val="00E65A1B"/>
    <w:rsid w:val="00E72F1F"/>
    <w:rsid w:val="00E841A2"/>
    <w:rsid w:val="00E934AB"/>
    <w:rsid w:val="00EA06AC"/>
    <w:rsid w:val="00EA08BF"/>
    <w:rsid w:val="00EA24FB"/>
    <w:rsid w:val="00EB20E3"/>
    <w:rsid w:val="00EB3204"/>
    <w:rsid w:val="00EB47A2"/>
    <w:rsid w:val="00EB50BA"/>
    <w:rsid w:val="00EC0EF4"/>
    <w:rsid w:val="00EC3D33"/>
    <w:rsid w:val="00ED302A"/>
    <w:rsid w:val="00ED3A42"/>
    <w:rsid w:val="00EE02BC"/>
    <w:rsid w:val="00EE6970"/>
    <w:rsid w:val="00EE7345"/>
    <w:rsid w:val="00EF38D0"/>
    <w:rsid w:val="00EF3DDF"/>
    <w:rsid w:val="00EF4A8C"/>
    <w:rsid w:val="00F2678C"/>
    <w:rsid w:val="00F27B38"/>
    <w:rsid w:val="00F370AD"/>
    <w:rsid w:val="00F40278"/>
    <w:rsid w:val="00F41832"/>
    <w:rsid w:val="00F56988"/>
    <w:rsid w:val="00F620FB"/>
    <w:rsid w:val="00F6571F"/>
    <w:rsid w:val="00F815BC"/>
    <w:rsid w:val="00F8687E"/>
    <w:rsid w:val="00F93331"/>
    <w:rsid w:val="00F94D5A"/>
    <w:rsid w:val="00F95549"/>
    <w:rsid w:val="00FA1E24"/>
    <w:rsid w:val="00FA24FB"/>
    <w:rsid w:val="00FA632B"/>
    <w:rsid w:val="00FB171F"/>
    <w:rsid w:val="00FB18B2"/>
    <w:rsid w:val="00FB38EA"/>
    <w:rsid w:val="00FB5E0F"/>
    <w:rsid w:val="00FB6AFF"/>
    <w:rsid w:val="00FC4D8F"/>
    <w:rsid w:val="00FD06D3"/>
    <w:rsid w:val="00FE3157"/>
    <w:rsid w:val="00FE6865"/>
    <w:rsid w:val="00FE6993"/>
    <w:rsid w:val="06D72634"/>
    <w:rsid w:val="0761245C"/>
    <w:rsid w:val="07AC1BBA"/>
    <w:rsid w:val="082067DC"/>
    <w:rsid w:val="0B831EEA"/>
    <w:rsid w:val="0ED128AF"/>
    <w:rsid w:val="0EEB3CDF"/>
    <w:rsid w:val="14772B9A"/>
    <w:rsid w:val="16850C5B"/>
    <w:rsid w:val="20A00CB0"/>
    <w:rsid w:val="22380181"/>
    <w:rsid w:val="22E408AB"/>
    <w:rsid w:val="27B80AC8"/>
    <w:rsid w:val="2942487C"/>
    <w:rsid w:val="2E7A642C"/>
    <w:rsid w:val="2F622D6A"/>
    <w:rsid w:val="47D102BC"/>
    <w:rsid w:val="49193005"/>
    <w:rsid w:val="5E8371F5"/>
    <w:rsid w:val="6114284F"/>
    <w:rsid w:val="63FD136C"/>
    <w:rsid w:val="6B0543B5"/>
    <w:rsid w:val="6DE02217"/>
    <w:rsid w:val="75D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Straight Connector 387"/>
        <o:r id="V:Rule2" type="connector" idref="#Straight Connector 383"/>
        <o:r id="V:Rule3" type="connector" idref="#Straight Connector 392"/>
        <o:r id="V:Rule4" type="connector" idref="#Straight Connector 391"/>
        <o:r id="V:Rule5" type="connector" idref="#Straight Connector 385"/>
        <o:r id="V:Rule6" type="connector" idref="#Straight Connector 389"/>
        <o:r id="V:Rule7" type="connector" idref="#Straight Connector 390"/>
        <o:r id="V:Rule8" type="connector" idref="#Straight Connector 388"/>
        <o:r id="V:Rule9" type="connector" idref="#Straight Connector 384"/>
        <o:r id="V:Rule10" type="connector" idref="#Straight Connector 3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ind w:right="300"/>
      <w:outlineLvl w:val="2"/>
    </w:pPr>
    <w:rPr>
      <w:rFonts w:ascii="仿宋_GB2312" w:eastAsia="仿宋_GB2312" w:cs="Times New Roman"/>
      <w:sz w:val="30"/>
      <w:szCs w:val="3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9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2"/>
    <w:unhideWhenUsed/>
    <w:qFormat/>
    <w:uiPriority w:val="99"/>
    <w:pPr>
      <w:jc w:val="left"/>
    </w:pPr>
    <w:rPr>
      <w:rFonts w:cs="Times New Roman"/>
    </w:rPr>
  </w:style>
  <w:style w:type="paragraph" w:styleId="7">
    <w:name w:val="Body Text"/>
    <w:basedOn w:val="1"/>
    <w:link w:val="44"/>
    <w:qFormat/>
    <w:uiPriority w:val="1"/>
    <w:pPr>
      <w:spacing w:before="190"/>
      <w:ind w:left="720"/>
      <w:jc w:val="left"/>
    </w:pPr>
    <w:rPr>
      <w:rFonts w:ascii="仿宋_GB2312" w:hAnsi="仿宋_GB2312" w:eastAsia="仿宋_GB2312" w:cs="Times New Roman"/>
      <w:kern w:val="0"/>
      <w:sz w:val="30"/>
      <w:szCs w:val="30"/>
      <w:lang w:eastAsia="en-US"/>
    </w:rPr>
  </w:style>
  <w:style w:type="paragraph" w:styleId="8">
    <w:name w:val="Balloon Text"/>
    <w:basedOn w:val="1"/>
    <w:link w:val="3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7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2">
    <w:name w:val="HTML Preformatted"/>
    <w:basedOn w:val="1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8">
    <w:name w:val="annotation reference"/>
    <w:basedOn w:val="16"/>
    <w:unhideWhenUsed/>
    <w:qFormat/>
    <w:uiPriority w:val="0"/>
    <w:rPr>
      <w:sz w:val="21"/>
      <w:szCs w:val="21"/>
    </w:rPr>
  </w:style>
  <w:style w:type="character" w:styleId="19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juzho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25">
    <w:name w:val="列出段落4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26">
    <w:name w:val="列出段落3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28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9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30">
    <w:name w:val="批注框文本 Char"/>
    <w:basedOn w:val="16"/>
    <w:link w:val="8"/>
    <w:semiHidden/>
    <w:qFormat/>
    <w:uiPriority w:val="0"/>
    <w:rPr>
      <w:sz w:val="18"/>
      <w:szCs w:val="18"/>
    </w:rPr>
  </w:style>
  <w:style w:type="character" w:customStyle="1" w:styleId="31">
    <w:name w:val="HTML 预设格式 Char"/>
    <w:basedOn w:val="16"/>
    <w:link w:val="12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批注文字 Char"/>
    <w:basedOn w:val="16"/>
    <w:link w:val="6"/>
    <w:semiHidden/>
    <w:qFormat/>
    <w:uiPriority w:val="0"/>
    <w:rPr>
      <w:rFonts w:ascii="Calibri" w:hAnsi="Calibri" w:eastAsia="宋体" w:cs="Times New Roman"/>
    </w:rPr>
  </w:style>
  <w:style w:type="character" w:customStyle="1" w:styleId="33">
    <w:name w:val="标题 1 Char"/>
    <w:basedOn w:val="16"/>
    <w:link w:val="2"/>
    <w:qFormat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4">
    <w:name w:val="标题 2 Char"/>
    <w:basedOn w:val="16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标题 3 Char"/>
    <w:basedOn w:val="16"/>
    <w:link w:val="4"/>
    <w:qFormat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6">
    <w:name w:val="脚注文本 Char"/>
    <w:basedOn w:val="16"/>
    <w:semiHidden/>
    <w:qFormat/>
    <w:uiPriority w:val="99"/>
    <w:rPr>
      <w:kern w:val="2"/>
      <w:sz w:val="18"/>
      <w:szCs w:val="18"/>
    </w:rPr>
  </w:style>
  <w:style w:type="character" w:customStyle="1" w:styleId="37">
    <w:name w:val="脚注文本 Char1"/>
    <w:basedOn w:val="16"/>
    <w:link w:val="11"/>
    <w:semiHidden/>
    <w:qFormat/>
    <w:uiPriority w:val="0"/>
    <w:rPr>
      <w:rFonts w:ascii="Times New Roman" w:hAnsi="Times New Roman"/>
      <w:sz w:val="18"/>
      <w:szCs w:val="18"/>
    </w:rPr>
  </w:style>
  <w:style w:type="character" w:customStyle="1" w:styleId="38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9">
    <w:name w:val="文档结构图 Char"/>
    <w:basedOn w:val="16"/>
    <w:link w:val="5"/>
    <w:qFormat/>
    <w:uiPriority w:val="0"/>
    <w:rPr>
      <w:rFonts w:ascii="宋体"/>
      <w:sz w:val="18"/>
      <w:szCs w:val="18"/>
    </w:rPr>
  </w:style>
  <w:style w:type="character" w:customStyle="1" w:styleId="40">
    <w:name w:val="批注文字 Char1"/>
    <w:basedOn w:val="16"/>
    <w:semiHidden/>
    <w:qFormat/>
    <w:uiPriority w:val="99"/>
    <w:rPr>
      <w:kern w:val="2"/>
      <w:sz w:val="21"/>
      <w:szCs w:val="22"/>
    </w:rPr>
  </w:style>
  <w:style w:type="character" w:customStyle="1" w:styleId="41">
    <w:name w:val="明显强调1"/>
    <w:basedOn w:val="16"/>
    <w:qFormat/>
    <w:uiPriority w:val="21"/>
    <w:rPr>
      <w:b/>
      <w:bCs/>
      <w:i/>
      <w:iCs/>
      <w:color w:val="4F81BD"/>
    </w:rPr>
  </w:style>
  <w:style w:type="character" w:customStyle="1" w:styleId="42">
    <w:name w:val="文档结构图 Char1"/>
    <w:basedOn w:val="16"/>
    <w:semiHidden/>
    <w:qFormat/>
    <w:uiPriority w:val="99"/>
    <w:rPr>
      <w:rFonts w:ascii="宋体" w:eastAsia="宋体"/>
      <w:sz w:val="18"/>
      <w:szCs w:val="18"/>
    </w:rPr>
  </w:style>
  <w:style w:type="character" w:customStyle="1" w:styleId="43">
    <w:name w:val="脚注文本 Char2"/>
    <w:basedOn w:val="16"/>
    <w:semiHidden/>
    <w:qFormat/>
    <w:uiPriority w:val="99"/>
    <w:rPr>
      <w:sz w:val="18"/>
      <w:szCs w:val="18"/>
    </w:rPr>
  </w:style>
  <w:style w:type="character" w:customStyle="1" w:styleId="44">
    <w:name w:val="正文文本 Char"/>
    <w:basedOn w:val="16"/>
    <w:link w:val="7"/>
    <w:qFormat/>
    <w:uiPriority w:val="1"/>
    <w:rPr>
      <w:rFonts w:ascii="仿宋_GB2312" w:hAnsi="仿宋_GB2312" w:eastAsia="仿宋_GB2312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3009</Characters>
  <Lines>25</Lines>
  <Paragraphs>7</Paragraphs>
  <TotalTime>0</TotalTime>
  <ScaleCrop>false</ScaleCrop>
  <LinksUpToDate>false</LinksUpToDate>
  <CharactersWithSpaces>3529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裴建君2</dc:creator>
  <cp:lastModifiedBy>彭欣然</cp:lastModifiedBy>
  <cp:lastPrinted>2017-11-24T00:22:00Z</cp:lastPrinted>
  <dcterms:modified xsi:type="dcterms:W3CDTF">2023-03-02T10:35:46Z</dcterms:modified>
  <dc:title>编号：57013               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