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编号：</w:t>
      </w:r>
      <w:r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  <w:t>000171112022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        </w:t>
      </w:r>
      <w:r>
        <w:rPr>
          <w:rFonts w:ascii="Times New Roman" w:hAnsi="Times New Roman" w:eastAsia="黑体" w:cs="Times New Roman"/>
          <w:sz w:val="48"/>
          <w:szCs w:val="48"/>
        </w:rPr>
        <w:drawing>
          <wp:inline distT="0" distB="0" distL="114300" distR="114300">
            <wp:extent cx="1104900" cy="885825"/>
            <wp:effectExtent l="0" t="0" r="0" b="9525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trike w:val="0"/>
          <w:dstrike w:val="0"/>
          <w:color w:val="auto"/>
          <w:sz w:val="40"/>
          <w:szCs w:val="40"/>
          <w:highlight w:val="none"/>
          <w:lang w:eastAsia="zh-CN"/>
        </w:rPr>
      </w:pPr>
      <w:r>
        <w:rPr>
          <w:rFonts w:ascii="Times New Roman" w:hAnsi="Times New Roman" w:eastAsia="黑体" w:cs="Times New Roman"/>
          <w:sz w:val="52"/>
          <w:szCs w:val="52"/>
        </w:rPr>
        <w:t>“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银行总行合作办理掉期业务市场准入审批</w:t>
      </w:r>
      <w:r>
        <w:rPr>
          <w:rFonts w:ascii="Times New Roman" w:hAnsi="Times New Roman" w:eastAsia="黑体" w:cs="Times New Roman"/>
          <w:sz w:val="52"/>
          <w:szCs w:val="52"/>
        </w:rPr>
        <w:t>”行政审批服务指南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实施日期：20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江苏省分局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Toc2079027121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>行政许可事项名称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及编码</w:t>
      </w:r>
      <w:bookmarkEnd w:id="0"/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1" w:name="_Toc1603860782"/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>经营或者终止结售汇业务审批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【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>00017111200Y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】</w:t>
      </w:r>
      <w:bookmarkEnd w:id="1"/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2" w:name="_Toc1152914667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2.行政许可事项子项名称及编码</w:t>
      </w:r>
      <w:bookmarkEnd w:id="2"/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>银行总行合作办理掉期业务市场准入审批【000171112022】</w:t>
      </w:r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3" w:name="_Toc1138671947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3.行政许可事项业务办理项名称及编码</w:t>
      </w:r>
      <w:bookmarkEnd w:id="3"/>
    </w:p>
    <w:p>
      <w:pPr>
        <w:adjustRightInd w:val="0"/>
        <w:snapToGrid w:val="0"/>
        <w:spacing w:line="360" w:lineRule="auto"/>
        <w:ind w:firstLine="585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银行总行合作办理掉期业务市场准入审批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00017111202201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银行总行合作办理掉期业务市场准入审批</w:t>
      </w:r>
      <w:r>
        <w:rPr>
          <w:rFonts w:ascii="Times New Roman" w:hAnsi="Times New Roman" w:eastAsia="仿宋_GB2312" w:cs="Times New Roman"/>
          <w:sz w:val="30"/>
          <w:szCs w:val="30"/>
        </w:rPr>
        <w:t>”的申请和办理。</w:t>
      </w:r>
    </w:p>
    <w:p>
      <w:pPr>
        <w:tabs>
          <w:tab w:val="left" w:pos="3718"/>
        </w:tabs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  <w:r>
        <w:rPr>
          <w:rFonts w:ascii="Times New Roman" w:hAnsi="Times New Roman" w:eastAsia="黑体" w:cs="Times New Roman"/>
          <w:sz w:val="30"/>
          <w:szCs w:val="30"/>
        </w:rPr>
        <w:tab/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中华人民共和国外汇管理条例》（国务院令第532号）第二十四条：“金融机构经营或者终止经营结汇、售汇业务，应当经外汇管理机关批准；经营或者终止经营其他外汇业务，应当按照职责分工经外汇管理机关或者金融业监督管理机构批准”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四、办理依据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bookmarkStart w:id="4" w:name="_Toc30808708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银行办理结售汇业务管理办法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》（中国人民银行令2014年2号）第二条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、第三条</w:t>
      </w:r>
      <w:bookmarkEnd w:id="4"/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5" w:name="_Toc1426410886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《银行办理结售汇业务管理办法实施细则》（汇发〔2014〕53号文印发）</w:t>
      </w:r>
      <w:bookmarkEnd w:id="5"/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《银行合作办理人民币对外汇衍生品业务细则》（汇发〔2022〕15号文印发）第一条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、第二条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bookmarkStart w:id="6" w:name="_Toc178517188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《国家外汇管理局行政许可实施办法》（国家外汇管理局公告2021年第1号）</w:t>
      </w:r>
      <w:bookmarkEnd w:id="6"/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全文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五、</w:t>
      </w:r>
      <w:r>
        <w:rPr>
          <w:rFonts w:ascii="Times New Roman" w:hAnsi="Times New Roman" w:eastAsia="黑体" w:cs="Times New Roman"/>
          <w:sz w:val="30"/>
          <w:szCs w:val="30"/>
        </w:rPr>
        <w:t>受理机构</w:t>
      </w:r>
    </w:p>
    <w:p>
      <w:pPr>
        <w:ind w:firstLine="600" w:firstLineChars="200"/>
        <w:rPr>
          <w:rFonts w:ascii="Times New Roman" w:hAnsi="Times New Roman" w:eastAsia="仿宋_GB2312"/>
          <w:spacing w:val="-1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申请人所在地国家外汇管理局分局（外汇管理部）</w:t>
      </w:r>
      <w:r>
        <w:rPr>
          <w:rFonts w:ascii="Times New Roman" w:hAnsi="Times New Roman" w:eastAsia="仿宋_GB2312"/>
          <w:spacing w:val="-1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六、</w:t>
      </w:r>
      <w:r>
        <w:rPr>
          <w:rFonts w:ascii="Times New Roman" w:hAnsi="Times New Roman" w:eastAsia="黑体" w:cs="Times New Roman"/>
          <w:sz w:val="30"/>
          <w:szCs w:val="30"/>
        </w:rPr>
        <w:t>决定机构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申请人所在地国家外汇管理局分局（外汇管理部）。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七、</w:t>
      </w:r>
      <w:r>
        <w:rPr>
          <w:rFonts w:ascii="Times New Roman" w:hAnsi="Times New Roman" w:eastAsia="黑体" w:cs="Times New Roman"/>
          <w:sz w:val="30"/>
          <w:szCs w:val="30"/>
        </w:rPr>
        <w:t>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八、</w:t>
      </w:r>
      <w:r>
        <w:rPr>
          <w:rFonts w:ascii="Times New Roman" w:hAnsi="Times New Roman" w:eastAsia="黑体" w:cs="Times New Roman"/>
          <w:sz w:val="30"/>
          <w:szCs w:val="30"/>
        </w:rPr>
        <w:t>办事条件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应取得合作远期结售汇业务资格2年以上。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合作远期结售汇业务规模在最近2年均达到即期结售汇业务规模的5%。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九、</w:t>
      </w:r>
      <w:r>
        <w:rPr>
          <w:rFonts w:ascii="Times New Roman" w:hAnsi="Times New Roman" w:eastAsia="黑体" w:cs="Times New Roman"/>
          <w:sz w:val="30"/>
          <w:szCs w:val="30"/>
        </w:rPr>
        <w:t>申请材料</w:t>
      </w:r>
    </w:p>
    <w:tbl>
      <w:tblPr>
        <w:tblStyle w:val="15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961"/>
        <w:gridCol w:w="457"/>
        <w:gridCol w:w="850"/>
        <w:gridCol w:w="1843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申请报告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简要说明满足各项申请条件情况，并包括企业客户培育情况、业务计划等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合作办理外汇衍生品业务相关管理制度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业务操作规程、风险管理制度、统计报告制度、会计核算制度等</w:t>
            </w:r>
          </w:p>
        </w:tc>
        <w:tc>
          <w:tcPr>
            <w:tcW w:w="639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与具备资格银行签订的合作协议书范本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范本中应明确双方权利和义务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十、</w:t>
      </w:r>
      <w:r>
        <w:rPr>
          <w:rFonts w:ascii="Times New Roman" w:hAnsi="Times New Roman" w:eastAsia="黑体" w:cs="Times New Roman"/>
          <w:sz w:val="30"/>
          <w:szCs w:val="30"/>
        </w:rPr>
        <w:t>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申请人可通过窗口、邮寄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、国家外汇管理局政务服务网上办理系统（http://zwfw.safe.gov.cn/asone</w:t>
      </w:r>
      <w:r>
        <w:rPr>
          <w:rFonts w:ascii="Times New Roman" w:hAnsi="Times New Roman" w:eastAsia="仿宋_GB2312" w:cs="Times New Roman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等方式提交材料。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十一、</w:t>
      </w:r>
      <w:r>
        <w:rPr>
          <w:rFonts w:ascii="Times New Roman" w:hAnsi="Times New Roman" w:eastAsia="黑体" w:cs="Times New Roman"/>
          <w:sz w:val="30"/>
          <w:szCs w:val="30"/>
        </w:rPr>
        <w:t>基本办理流程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3.不予受理的，出具不予受理通知书；受理的，出具受理通知书，进行审查报批；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4.不予许可的，出具不予许可通知书。许可的，向申请人出具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《银行合作办理人民币对外汇衍生品业务准予许可通知书》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5.材料不全或不符合法定形式的，一次性告</w:t>
      </w:r>
      <w:bookmarkStart w:id="7" w:name="_GoBack"/>
      <w:bookmarkEnd w:id="7"/>
      <w:r>
        <w:rPr>
          <w:rFonts w:ascii="Times New Roman" w:hAnsi="Times New Roman" w:eastAsia="仿宋_GB2312" w:cs="Times New Roman"/>
          <w:sz w:val="30"/>
          <w:szCs w:val="30"/>
        </w:rPr>
        <w:t>知补正材料，并出具《行政许可补正通知书》。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十二、</w:t>
      </w:r>
      <w:r>
        <w:rPr>
          <w:rFonts w:ascii="Times New Roman" w:hAnsi="Times New Roman" w:eastAsia="黑体" w:cs="Times New Roman"/>
          <w:sz w:val="30"/>
          <w:szCs w:val="30"/>
        </w:rPr>
        <w:t>办理方式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一般程序：申请、受理、审查、出具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《银行合作办理人民币对外汇衍生品业务准予许可通知书》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十三、</w:t>
      </w:r>
      <w:r>
        <w:rPr>
          <w:rFonts w:ascii="Times New Roman" w:hAnsi="Times New Roman" w:eastAsia="黑体" w:cs="Times New Roman"/>
          <w:sz w:val="30"/>
          <w:szCs w:val="30"/>
        </w:rPr>
        <w:t>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十四、</w:t>
      </w:r>
      <w:r>
        <w:rPr>
          <w:rFonts w:ascii="Times New Roman" w:hAnsi="Times New Roman" w:eastAsia="黑体" w:cs="Times New Roman"/>
          <w:sz w:val="30"/>
          <w:szCs w:val="30"/>
        </w:rPr>
        <w:t>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十五、</w:t>
      </w:r>
      <w:r>
        <w:rPr>
          <w:rFonts w:ascii="Times New Roman" w:hAnsi="Times New Roman" w:eastAsia="黑体" w:cs="Times New Roman"/>
          <w:sz w:val="30"/>
          <w:szCs w:val="30"/>
        </w:rPr>
        <w:t>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《银行合作办理人民币对外汇衍生品业务准予许可通知书》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十六、</w:t>
      </w:r>
      <w:r>
        <w:rPr>
          <w:rFonts w:ascii="Times New Roman" w:hAnsi="Times New Roman" w:eastAsia="黑体" w:cs="Times New Roman"/>
          <w:sz w:val="30"/>
          <w:szCs w:val="30"/>
        </w:rPr>
        <w:t>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通过现场告知或电话通知申请人，并通过现场领取或邮寄方式将结果送达。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十七、</w:t>
      </w:r>
      <w:r>
        <w:rPr>
          <w:rFonts w:ascii="Times New Roman" w:hAnsi="Times New Roman" w:eastAsia="黑体" w:cs="Times New Roman"/>
          <w:sz w:val="30"/>
          <w:szCs w:val="30"/>
        </w:rPr>
        <w:t>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十八、</w:t>
      </w:r>
      <w:r>
        <w:rPr>
          <w:rFonts w:ascii="Times New Roman" w:hAnsi="Times New Roman" w:eastAsia="黑体" w:cs="Times New Roman"/>
          <w:sz w:val="30"/>
          <w:szCs w:val="30"/>
        </w:rPr>
        <w:t>事项审查类型</w:t>
      </w:r>
    </w:p>
    <w:p>
      <w:pPr>
        <w:adjustRightInd w:val="0"/>
        <w:snapToGrid w:val="0"/>
        <w:spacing w:line="360" w:lineRule="auto"/>
        <w:ind w:firstLine="6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前审后批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ind w:firstLine="6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十九、</w:t>
      </w:r>
      <w:r>
        <w:rPr>
          <w:rFonts w:hint="eastAsia" w:ascii="Times New Roman" w:hAnsi="Times New Roman" w:eastAsia="黑体" w:cs="Times New Roman"/>
          <w:sz w:val="30"/>
          <w:szCs w:val="30"/>
        </w:rPr>
        <w:t>咨询途径、监督和投诉、办公地址和时间、公开查询方式等</w:t>
      </w:r>
    </w:p>
    <w:p>
      <w:pPr>
        <w:widowControl w:val="0"/>
        <w:wordWrap/>
        <w:autoSpaceDE w:val="0"/>
        <w:autoSpaceDN w:val="0"/>
        <w:adjustRightInd/>
        <w:snapToGrid/>
        <w:spacing w:before="0" w:after="0" w:line="360" w:lineRule="auto"/>
        <w:ind w:left="0" w:leftChars="0" w:right="0" w:firstLine="600" w:firstLineChars="0"/>
        <w:jc w:val="left"/>
        <w:textAlignment w:val="auto"/>
        <w:outlineLvl w:val="9"/>
        <w:rPr>
          <w:rFonts w:ascii="Times New Roman" w:hAnsi="Times New Roman" w:eastAsia="仿宋_GB2312" w:cs="Times New Roman"/>
          <w:sz w:val="30"/>
          <w:szCs w:val="30"/>
          <w:highlight w:val="yellow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注册所在地外汇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局进行咨询、办理进程查询、监督和投诉等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可通过国家外汇管理局官方互联网站www.safe.gov.cn链接至江苏分局“业务指南”栏目中公布的电话进行。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二十、</w:t>
      </w:r>
      <w:r>
        <w:rPr>
          <w:rFonts w:ascii="Times New Roman" w:hAnsi="Times New Roman" w:eastAsia="黑体" w:cs="Times New Roman"/>
          <w:sz w:val="30"/>
          <w:szCs w:val="30"/>
        </w:rPr>
        <w:t>禁止性要求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如符合上述条件，不存在不予许可的情况。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二十一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、</w:t>
      </w:r>
      <w:r>
        <w:rPr>
          <w:rFonts w:ascii="Times New Roman" w:hAnsi="Times New Roman" w:eastAsia="黑体" w:cs="Times New Roman"/>
          <w:sz w:val="30"/>
          <w:szCs w:val="30"/>
        </w:rPr>
        <w:t>申请材料示范文本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无固定格式。有关内容要求详见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“九、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申请材料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二十二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、</w:t>
      </w:r>
      <w:r>
        <w:rPr>
          <w:rFonts w:ascii="Times New Roman" w:hAnsi="Times New Roman" w:eastAsia="黑体" w:cs="Times New Roman"/>
          <w:sz w:val="30"/>
          <w:szCs w:val="30"/>
        </w:rPr>
        <w:t>常见问题解答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审批时限在20个工作日以内。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二十三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、</w:t>
      </w:r>
      <w:r>
        <w:rPr>
          <w:rFonts w:ascii="Times New Roman" w:hAnsi="Times New Roman" w:eastAsia="黑体" w:cs="Times New Roman"/>
          <w:sz w:val="30"/>
          <w:szCs w:val="30"/>
        </w:rPr>
        <w:t>常见错误示例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申请材料不完全符合规定，例如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合作办理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掉期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结售汇业务相关管理制度包含内容不全等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ind w:right="300" w:firstLine="6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基本流程图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317500</wp:posOffset>
                </wp:positionV>
                <wp:extent cx="5838190" cy="5803900"/>
                <wp:effectExtent l="7620" t="4445" r="21590" b="20955"/>
                <wp:wrapNone/>
                <wp:docPr id="22" name="Group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190" cy="5803900"/>
                          <a:chOff x="1007" y="3188"/>
                          <a:chExt cx="9194" cy="9140"/>
                        </a:xfrm>
                      </wpg:grpSpPr>
                      <wps:wsp>
                        <wps:cNvPr id="4" name="Straight Connector 493"/>
                        <wps:cNvCnPr/>
                        <wps:spPr>
                          <a:xfrm>
                            <a:off x="5392" y="8652"/>
                            <a:ext cx="0" cy="43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Straight Connector 494"/>
                        <wps:cNvCnPr/>
                        <wps:spPr>
                          <a:xfrm>
                            <a:off x="6547" y="9623"/>
                            <a:ext cx="17" cy="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Straight Connector 495"/>
                        <wps:cNvCnPr/>
                        <wps:spPr>
                          <a:xfrm>
                            <a:off x="4432" y="9623"/>
                            <a:ext cx="1" cy="90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Straight Connector 496"/>
                        <wps:cNvCnPr/>
                        <wps:spPr>
                          <a:xfrm>
                            <a:off x="2612" y="6826"/>
                            <a:ext cx="0" cy="139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Connector 497"/>
                        <wps:cNvCnPr/>
                        <wps:spPr>
                          <a:xfrm>
                            <a:off x="2612" y="8217"/>
                            <a:ext cx="82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Rectangle 498"/>
                        <wps:cNvSpPr/>
                        <wps:spPr>
                          <a:xfrm>
                            <a:off x="4839" y="6389"/>
                            <a:ext cx="5362" cy="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依法不予受理的，作出不予受理决定，出具不予受理通知书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0" name="Rectangle 499"/>
                        <wps:cNvSpPr/>
                        <wps:spPr>
                          <a:xfrm>
                            <a:off x="3433" y="8049"/>
                            <a:ext cx="4104" cy="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依法应予受理，出具受理单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Rectangle 500"/>
                        <wps:cNvSpPr/>
                        <wps:spPr>
                          <a:xfrm>
                            <a:off x="3434" y="9089"/>
                            <a:ext cx="4252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审查报批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2" name="Rectangle 501"/>
                        <wps:cNvSpPr/>
                        <wps:spPr>
                          <a:xfrm>
                            <a:off x="3319" y="10528"/>
                            <a:ext cx="207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予以许可，向申请人出具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1"/>
                                  <w:szCs w:val="21"/>
                                  <w:lang w:val="en-US" w:eastAsia="zh-CN"/>
                                </w:rPr>
                                <w:t>《银行合作办理人民币对外汇衍生品业务准予许可通知书》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3" name="Rectangle 502"/>
                        <wps:cNvSpPr/>
                        <wps:spPr>
                          <a:xfrm>
                            <a:off x="5790" y="10528"/>
                            <a:ext cx="1747" cy="1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依法作出不予许可决定，并送达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Straight Connector 503"/>
                        <wps:cNvCnPr/>
                        <wps:spPr>
                          <a:xfrm>
                            <a:off x="2612" y="4693"/>
                            <a:ext cx="17" cy="14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Straight Connector 504"/>
                        <wps:cNvCnPr/>
                        <wps:spPr>
                          <a:xfrm>
                            <a:off x="3584" y="5846"/>
                            <a:ext cx="1269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Straight Connector 505"/>
                        <wps:cNvCnPr/>
                        <wps:spPr>
                          <a:xfrm>
                            <a:off x="3695" y="6879"/>
                            <a:ext cx="1172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Straight Connector 506"/>
                        <wps:cNvCnPr/>
                        <wps:spPr>
                          <a:xfrm flipV="1">
                            <a:off x="8191" y="5266"/>
                            <a:ext cx="0" cy="2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Straight Connector 507"/>
                        <wps:cNvCnPr/>
                        <wps:spPr>
                          <a:xfrm flipH="1">
                            <a:off x="2629" y="4981"/>
                            <a:ext cx="4643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Flowchart: Decision 508"/>
                        <wps:cNvSpPr/>
                        <wps:spPr>
                          <a:xfrm>
                            <a:off x="1007" y="5082"/>
                            <a:ext cx="3274" cy="274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接件并当场（或5个工作日）作出是否受理决定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0" name="Rectangle 509"/>
                        <wps:cNvSpPr/>
                        <wps:spPr>
                          <a:xfrm>
                            <a:off x="4839" y="5537"/>
                            <a:ext cx="5362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材料不全或不符合法定形式的，一次性告知补正材料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1" name="Rectangle 510"/>
                        <wps:cNvSpPr/>
                        <wps:spPr>
                          <a:xfrm>
                            <a:off x="1771" y="3188"/>
                            <a:ext cx="2662" cy="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rPr>
                                  <w:rFonts w:ascii="宋体" w:hAnsi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申请人以现场、邮寄、国家外汇管理局政务服务网上办理系统等提交材料提出书面申请，并提交材料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2" o:spid="_x0000_s1026" o:spt="203" style="position:absolute;left:0pt;margin-left:-39.65pt;margin-top:25pt;height:457pt;width:459.7pt;z-index:251662336;mso-width-relative:page;mso-height-relative:page;" coordorigin="1007,3188" coordsize="9194,9140" o:gfxdata="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">
                <o:lock v:ext="edit" aspectratio="f"/>
                <v:shape id="Straight Connector 493" o:spid="_x0000_s1026" o:spt="32" type="#_x0000_t32" style="position:absolute;left:5392;top:8652;height:437;width:0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494" o:spid="_x0000_s1026" o:spt="32" type="#_x0000_t32" style="position:absolute;left:6547;top:9623;height:905;width:17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495" o:spid="_x0000_s1026" o:spt="32" type="#_x0000_t32" style="position:absolute;left:4432;top:9623;height:905;width:1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496" o:spid="_x0000_s1026" o:spt="32" type="#_x0000_t32" style="position:absolute;left:2612;top:6826;height:1391;width:0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Straight Connector 497" o:spid="_x0000_s1026" o:spt="32" type="#_x0000_t32" style="position:absolute;left:2612;top:8217;height:0;width:822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Rectangle 498" o:spid="_x0000_s1026" o:spt="1" style="position:absolute;left:4839;top:6389;height:906;width:5362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依法不予受理的，作出不予受理决定，出具不予受理通知书</w:t>
                        </w:r>
                      </w:p>
                      <w:p/>
                    </w:txbxContent>
                  </v:textbox>
                </v:rect>
                <v:rect id="Rectangle 499" o:spid="_x0000_s1026" o:spt="1" style="position:absolute;left:3433;top:8049;height:603;width:4104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依法应予受理，出具受理单</w:t>
                        </w:r>
                      </w:p>
                      <w:p/>
                    </w:txbxContent>
                  </v:textbox>
                </v:rect>
                <v:rect id="Rectangle 500" o:spid="_x0000_s1026" o:spt="1" style="position:absolute;left:3434;top:9089;height:534;width:4252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审查报批</w:t>
                        </w:r>
                      </w:p>
                      <w:p/>
                    </w:txbxContent>
                  </v:textbox>
                </v:rect>
                <v:rect id="Rectangle 501" o:spid="_x0000_s1026" o:spt="1" style="position:absolute;left:3319;top:10528;height:1800;width:207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予以许可，向申请人出具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《银行合作办理人民币对外汇衍生品业务准予许可通知书》</w:t>
                        </w:r>
                      </w:p>
                      <w:p/>
                    </w:txbxContent>
                  </v:textbox>
                </v:rect>
                <v:rect id="Rectangle 502" o:spid="_x0000_s1026" o:spt="1" style="position:absolute;left:5790;top:10528;height:1172;width:1747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依法作出不予许可决定，并送达</w:t>
                        </w:r>
                      </w:p>
                      <w:p/>
                    </w:txbxContent>
                  </v:textbox>
                </v:rect>
                <v:shape id="Straight Connector 503" o:spid="_x0000_s1026" o:spt="32" type="#_x0000_t32" style="position:absolute;left:2612;top:4693;height:1468;width:17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504" o:spid="_x0000_s1026" o:spt="32" type="#_x0000_t32" style="position:absolute;left:3584;top:5846;height:1;width:1269;" filled="f" stroked="t" coordsize="21600,21600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505" o:spid="_x0000_s1026" o:spt="32" type="#_x0000_t32" style="position:absolute;left:3695;top:6879;height:0;width:1172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506" o:spid="_x0000_s1026" o:spt="32" type="#_x0000_t32" style="position:absolute;left:8191;top:5266;flip:y;height:271;width:0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Straight Connector 507" o:spid="_x0000_s1026" o:spt="32" type="#_x0000_t32" style="position:absolute;left:2629;top:4981;flip:x;height:1;width:4643;" filled="f" stroked="t" coordsize="21600,21600" o:gfxdata="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Yuw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Flowchart: Decision 508" o:spid="_x0000_s1026" o:spt="110" type="#_x0000_t110" style="position:absolute;left:1007;top:5082;height:2743;width:3274;" fillcolor="#FFFFFF" filled="t" stroked="t" coordsize="21600,21600" o:gfxdata="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F9K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接件并当场（或5个工作日）作出是否受理决定</w:t>
                        </w:r>
                      </w:p>
                      <w:p/>
                    </w:txbxContent>
                  </v:textbox>
                </v:shape>
                <v:rect id="Rectangle 509" o:spid="_x0000_s1026" o:spt="1" style="position:absolute;left:4839;top:5537;height:500;width:536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材料不全或不符合法定形式的，一次性告知补正材料</w:t>
                        </w:r>
                      </w:p>
                      <w:p/>
                    </w:txbxContent>
                  </v:textbox>
                </v:rect>
                <v:rect id="Rectangle 510" o:spid="_x0000_s1026" o:spt="1" style="position:absolute;left:1771;top:3188;height:1505;width:266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34"/>
                          <w:rPr>
                            <w:rFonts w:ascii="宋体" w:hAnsi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申请人以现场、邮寄、国家外汇管理局政务服务网上办理系统等提交材料提出书面申请，并提交材料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735330</wp:posOffset>
                </wp:positionV>
                <wp:extent cx="1329690" cy="505460"/>
                <wp:effectExtent l="4445" t="4445" r="18415" b="23495"/>
                <wp:wrapNone/>
                <wp:docPr id="3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91" o:spid="_x0000_s1026" o:spt="1" style="position:absolute;left:0pt;margin-left:273.6pt;margin-top:57.9pt;height:39.8pt;width:104.7pt;z-index:251661312;mso-width-relative:page;mso-height-relative:page;" fillcolor="#FFFFFF" filled="t" stroked="t" coordsize="21600,21600" o:gfxdata="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B/bBT2QAAAAsB&#10;AAAPAAAAAAAAAAEAIAAAACIAAABkcnMvZG93bnJldi54bWxQSwECFAAUAAAACACHTuJAw0x0duEB&#10;AADgAwAADgAAAAAAAAABACAAAAAo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申请人补全材料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11430</wp:posOffset>
                </wp:positionV>
                <wp:extent cx="1690370" cy="865505"/>
                <wp:effectExtent l="4445" t="4445" r="19685" b="6350"/>
                <wp:wrapNone/>
                <wp:docPr id="2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申请人以现场、邮寄、国家外汇管理局政务服务网上办理系统等提交材料提出书面申请，并提交材料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90" o:spid="_x0000_s1026" o:spt="1" style="position:absolute;left:0pt;margin-left:-1.45pt;margin-top:0.9pt;height:68.15pt;width:133.1pt;z-index:251660288;mso-width-relative:page;mso-height-relative:page;" fillcolor="#FFFFFF" filled="t" stroked="t" coordsize="21600,21600" o:gfxdata="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VG0C1gAAAAgBAAAPAAAA&#10;AAAAAAEAIAAAACIAAABkcnMvZG93bnJldi54bWxQSwECFAAUAAAACACHTuJAES0be94BAADgAwAA&#10;DgAAAAAAAAABACAAAAAl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4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申请人以现场、邮寄、国家外汇管理局政务服务网上办理系统等提交材料提出书面申请，并提交材料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339090</wp:posOffset>
                </wp:positionV>
                <wp:extent cx="1329690" cy="505460"/>
                <wp:effectExtent l="4445" t="4445" r="18415" b="23495"/>
                <wp:wrapNone/>
                <wp:docPr id="1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申请人补全材料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88" o:spid="_x0000_s1026" o:spt="1" style="position:absolute;left:0pt;margin-left:273.6pt;margin-top:26.7pt;height:39.8pt;width:104.7pt;z-index:251659264;mso-width-relative:page;mso-height-relative:page;" fillcolor="#FFFFFF" filled="t" stroked="t" coordsize="21600,21600" o:gfxdata="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q5TEz2AAAAAoB&#10;AAAPAAAAAAAAAAEAIAAAACIAAABkcnMvZG93bnJldi54bWxQSwECFAAUAAAACACHTuJAppqJ6OIB&#10;AADgAwAADgAAAAAAAAABACAAAAAn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申请人补全材料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300"/>
        <w:jc w:val="center"/>
        <w:rPr>
          <w:rFonts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1E"/>
    <w:rsid w:val="00003372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75594"/>
    <w:rsid w:val="00080630"/>
    <w:rsid w:val="00084C01"/>
    <w:rsid w:val="00091661"/>
    <w:rsid w:val="00092D53"/>
    <w:rsid w:val="00096CBB"/>
    <w:rsid w:val="00097F7B"/>
    <w:rsid w:val="000B6901"/>
    <w:rsid w:val="000B728B"/>
    <w:rsid w:val="000C15B3"/>
    <w:rsid w:val="000C2B33"/>
    <w:rsid w:val="000C6C10"/>
    <w:rsid w:val="000D1995"/>
    <w:rsid w:val="000D7478"/>
    <w:rsid w:val="000E4F85"/>
    <w:rsid w:val="00112ED3"/>
    <w:rsid w:val="00121171"/>
    <w:rsid w:val="0012271F"/>
    <w:rsid w:val="00127A16"/>
    <w:rsid w:val="00130519"/>
    <w:rsid w:val="00135BEE"/>
    <w:rsid w:val="0014667A"/>
    <w:rsid w:val="00154B58"/>
    <w:rsid w:val="0015772B"/>
    <w:rsid w:val="00157C64"/>
    <w:rsid w:val="00157E81"/>
    <w:rsid w:val="00170126"/>
    <w:rsid w:val="00177059"/>
    <w:rsid w:val="00181D3E"/>
    <w:rsid w:val="00196FAE"/>
    <w:rsid w:val="001A3E49"/>
    <w:rsid w:val="001A72AA"/>
    <w:rsid w:val="001B1E2C"/>
    <w:rsid w:val="001C2FC2"/>
    <w:rsid w:val="001C44C7"/>
    <w:rsid w:val="001D65A2"/>
    <w:rsid w:val="001E1407"/>
    <w:rsid w:val="001F4BD4"/>
    <w:rsid w:val="001F7297"/>
    <w:rsid w:val="00201F60"/>
    <w:rsid w:val="00204D5C"/>
    <w:rsid w:val="00205D07"/>
    <w:rsid w:val="00212F39"/>
    <w:rsid w:val="00217116"/>
    <w:rsid w:val="00231EED"/>
    <w:rsid w:val="002328EF"/>
    <w:rsid w:val="00233841"/>
    <w:rsid w:val="00235F24"/>
    <w:rsid w:val="002417D2"/>
    <w:rsid w:val="00241FE8"/>
    <w:rsid w:val="0024527E"/>
    <w:rsid w:val="00250558"/>
    <w:rsid w:val="00253F7B"/>
    <w:rsid w:val="00263773"/>
    <w:rsid w:val="00263B1F"/>
    <w:rsid w:val="00291C17"/>
    <w:rsid w:val="0029313A"/>
    <w:rsid w:val="002B0B1C"/>
    <w:rsid w:val="002B598D"/>
    <w:rsid w:val="002B61C1"/>
    <w:rsid w:val="002C3539"/>
    <w:rsid w:val="002E1323"/>
    <w:rsid w:val="002E6E2B"/>
    <w:rsid w:val="002F0C35"/>
    <w:rsid w:val="002F3868"/>
    <w:rsid w:val="002F7D45"/>
    <w:rsid w:val="00302119"/>
    <w:rsid w:val="00302E87"/>
    <w:rsid w:val="00310261"/>
    <w:rsid w:val="00325D3D"/>
    <w:rsid w:val="00343044"/>
    <w:rsid w:val="003436FE"/>
    <w:rsid w:val="00343BB4"/>
    <w:rsid w:val="00344B01"/>
    <w:rsid w:val="00350957"/>
    <w:rsid w:val="00353AC4"/>
    <w:rsid w:val="003616B4"/>
    <w:rsid w:val="003A57B2"/>
    <w:rsid w:val="003C3728"/>
    <w:rsid w:val="003C7132"/>
    <w:rsid w:val="003D5953"/>
    <w:rsid w:val="003D77A5"/>
    <w:rsid w:val="003E6BF6"/>
    <w:rsid w:val="003F221D"/>
    <w:rsid w:val="003F3097"/>
    <w:rsid w:val="00402AE8"/>
    <w:rsid w:val="00405FE6"/>
    <w:rsid w:val="004105BC"/>
    <w:rsid w:val="00421C27"/>
    <w:rsid w:val="00440A1F"/>
    <w:rsid w:val="00443603"/>
    <w:rsid w:val="00443604"/>
    <w:rsid w:val="004501EA"/>
    <w:rsid w:val="00450FD3"/>
    <w:rsid w:val="00460458"/>
    <w:rsid w:val="00464B0B"/>
    <w:rsid w:val="0046792D"/>
    <w:rsid w:val="004746AE"/>
    <w:rsid w:val="004767DF"/>
    <w:rsid w:val="00493CCC"/>
    <w:rsid w:val="00493F6B"/>
    <w:rsid w:val="004967FB"/>
    <w:rsid w:val="004A0218"/>
    <w:rsid w:val="004A1E8B"/>
    <w:rsid w:val="004A2436"/>
    <w:rsid w:val="004A2BF8"/>
    <w:rsid w:val="004A7840"/>
    <w:rsid w:val="004B545A"/>
    <w:rsid w:val="004B7E80"/>
    <w:rsid w:val="004C0966"/>
    <w:rsid w:val="004C457E"/>
    <w:rsid w:val="004C48D5"/>
    <w:rsid w:val="004D03B7"/>
    <w:rsid w:val="004D1436"/>
    <w:rsid w:val="004D57AE"/>
    <w:rsid w:val="005056D4"/>
    <w:rsid w:val="00526B2B"/>
    <w:rsid w:val="0053236D"/>
    <w:rsid w:val="005362B0"/>
    <w:rsid w:val="00542447"/>
    <w:rsid w:val="00557EB9"/>
    <w:rsid w:val="00564312"/>
    <w:rsid w:val="005776AE"/>
    <w:rsid w:val="005A2981"/>
    <w:rsid w:val="005C225F"/>
    <w:rsid w:val="005C6937"/>
    <w:rsid w:val="005C7F02"/>
    <w:rsid w:val="005F0A86"/>
    <w:rsid w:val="005F144A"/>
    <w:rsid w:val="005F1C00"/>
    <w:rsid w:val="006117BD"/>
    <w:rsid w:val="0061621E"/>
    <w:rsid w:val="00630AA8"/>
    <w:rsid w:val="00630B2E"/>
    <w:rsid w:val="00632EDB"/>
    <w:rsid w:val="00643D2A"/>
    <w:rsid w:val="006476F4"/>
    <w:rsid w:val="00664E11"/>
    <w:rsid w:val="00673B30"/>
    <w:rsid w:val="00696E5D"/>
    <w:rsid w:val="006B5B86"/>
    <w:rsid w:val="006C5908"/>
    <w:rsid w:val="006C633E"/>
    <w:rsid w:val="006D56AB"/>
    <w:rsid w:val="006D734F"/>
    <w:rsid w:val="006E043F"/>
    <w:rsid w:val="006E2C0A"/>
    <w:rsid w:val="006E4695"/>
    <w:rsid w:val="006E4B8B"/>
    <w:rsid w:val="006E5901"/>
    <w:rsid w:val="0071091C"/>
    <w:rsid w:val="00714961"/>
    <w:rsid w:val="007166B6"/>
    <w:rsid w:val="00726A55"/>
    <w:rsid w:val="00744BD5"/>
    <w:rsid w:val="00745748"/>
    <w:rsid w:val="007479B3"/>
    <w:rsid w:val="00750E36"/>
    <w:rsid w:val="00753CB0"/>
    <w:rsid w:val="00755460"/>
    <w:rsid w:val="00761FB7"/>
    <w:rsid w:val="00762107"/>
    <w:rsid w:val="00764CB9"/>
    <w:rsid w:val="00765B05"/>
    <w:rsid w:val="0077269F"/>
    <w:rsid w:val="007827B2"/>
    <w:rsid w:val="00785F45"/>
    <w:rsid w:val="007929C6"/>
    <w:rsid w:val="00793806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36F4E"/>
    <w:rsid w:val="008471B6"/>
    <w:rsid w:val="00851521"/>
    <w:rsid w:val="0085401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C3178"/>
    <w:rsid w:val="008D5CA5"/>
    <w:rsid w:val="008D5FA0"/>
    <w:rsid w:val="008E2C0E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215C"/>
    <w:rsid w:val="00925BB2"/>
    <w:rsid w:val="00930C8C"/>
    <w:rsid w:val="009322AC"/>
    <w:rsid w:val="009360EA"/>
    <w:rsid w:val="00947C57"/>
    <w:rsid w:val="00951149"/>
    <w:rsid w:val="00960EDB"/>
    <w:rsid w:val="009622DB"/>
    <w:rsid w:val="009664BC"/>
    <w:rsid w:val="009717A5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E7D7A"/>
    <w:rsid w:val="009F1B37"/>
    <w:rsid w:val="009F7A36"/>
    <w:rsid w:val="00A22075"/>
    <w:rsid w:val="00A249C2"/>
    <w:rsid w:val="00A24FAB"/>
    <w:rsid w:val="00A301E7"/>
    <w:rsid w:val="00A42E69"/>
    <w:rsid w:val="00A45CA7"/>
    <w:rsid w:val="00A51415"/>
    <w:rsid w:val="00A6014E"/>
    <w:rsid w:val="00A60356"/>
    <w:rsid w:val="00A81DF1"/>
    <w:rsid w:val="00A90EF3"/>
    <w:rsid w:val="00AA7717"/>
    <w:rsid w:val="00AB131E"/>
    <w:rsid w:val="00AB5527"/>
    <w:rsid w:val="00AB644F"/>
    <w:rsid w:val="00AC3F5E"/>
    <w:rsid w:val="00AE7ACF"/>
    <w:rsid w:val="00B06409"/>
    <w:rsid w:val="00B17D66"/>
    <w:rsid w:val="00B31FD9"/>
    <w:rsid w:val="00B35D3A"/>
    <w:rsid w:val="00B422F1"/>
    <w:rsid w:val="00B63B15"/>
    <w:rsid w:val="00B71531"/>
    <w:rsid w:val="00B7456C"/>
    <w:rsid w:val="00B84131"/>
    <w:rsid w:val="00B8630E"/>
    <w:rsid w:val="00B931F4"/>
    <w:rsid w:val="00B95573"/>
    <w:rsid w:val="00B96395"/>
    <w:rsid w:val="00BA2AF8"/>
    <w:rsid w:val="00BA511D"/>
    <w:rsid w:val="00BB2650"/>
    <w:rsid w:val="00BB5BDC"/>
    <w:rsid w:val="00BB7B76"/>
    <w:rsid w:val="00BD233D"/>
    <w:rsid w:val="00BF4EF0"/>
    <w:rsid w:val="00C02E44"/>
    <w:rsid w:val="00C0337D"/>
    <w:rsid w:val="00C147D2"/>
    <w:rsid w:val="00C15749"/>
    <w:rsid w:val="00C2075F"/>
    <w:rsid w:val="00C22AD9"/>
    <w:rsid w:val="00C23799"/>
    <w:rsid w:val="00C274C9"/>
    <w:rsid w:val="00C31E02"/>
    <w:rsid w:val="00C54291"/>
    <w:rsid w:val="00C672C3"/>
    <w:rsid w:val="00C712B2"/>
    <w:rsid w:val="00C94325"/>
    <w:rsid w:val="00C97FED"/>
    <w:rsid w:val="00CA1DBB"/>
    <w:rsid w:val="00CA2622"/>
    <w:rsid w:val="00CA7F2C"/>
    <w:rsid w:val="00CA7FF8"/>
    <w:rsid w:val="00CB5DE7"/>
    <w:rsid w:val="00CC068D"/>
    <w:rsid w:val="00CC2A2E"/>
    <w:rsid w:val="00CC4922"/>
    <w:rsid w:val="00CD05F3"/>
    <w:rsid w:val="00CD1FF6"/>
    <w:rsid w:val="00CE0DBA"/>
    <w:rsid w:val="00CE25C7"/>
    <w:rsid w:val="00CE3335"/>
    <w:rsid w:val="00CE3EA9"/>
    <w:rsid w:val="00CE4849"/>
    <w:rsid w:val="00CE5C8E"/>
    <w:rsid w:val="00CE5F49"/>
    <w:rsid w:val="00D003EC"/>
    <w:rsid w:val="00D01626"/>
    <w:rsid w:val="00D02F0F"/>
    <w:rsid w:val="00D33A4D"/>
    <w:rsid w:val="00D33F76"/>
    <w:rsid w:val="00D3569D"/>
    <w:rsid w:val="00D41F5E"/>
    <w:rsid w:val="00D43DC0"/>
    <w:rsid w:val="00D54E56"/>
    <w:rsid w:val="00D6407D"/>
    <w:rsid w:val="00D93E78"/>
    <w:rsid w:val="00DC6E91"/>
    <w:rsid w:val="00DC7514"/>
    <w:rsid w:val="00DD3845"/>
    <w:rsid w:val="00E1687A"/>
    <w:rsid w:val="00E20A2E"/>
    <w:rsid w:val="00E277DE"/>
    <w:rsid w:val="00E27EE9"/>
    <w:rsid w:val="00E3239D"/>
    <w:rsid w:val="00E3254B"/>
    <w:rsid w:val="00E3439B"/>
    <w:rsid w:val="00E42C5F"/>
    <w:rsid w:val="00E65A1B"/>
    <w:rsid w:val="00E72F1F"/>
    <w:rsid w:val="00E841A2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34488"/>
    <w:rsid w:val="00F40278"/>
    <w:rsid w:val="00F41832"/>
    <w:rsid w:val="00F56988"/>
    <w:rsid w:val="00F620FB"/>
    <w:rsid w:val="00F6571F"/>
    <w:rsid w:val="00F815BC"/>
    <w:rsid w:val="00F8687E"/>
    <w:rsid w:val="00F93331"/>
    <w:rsid w:val="00F95549"/>
    <w:rsid w:val="00FA1E24"/>
    <w:rsid w:val="00FA24FB"/>
    <w:rsid w:val="00FA632B"/>
    <w:rsid w:val="00FB38EA"/>
    <w:rsid w:val="00FB438E"/>
    <w:rsid w:val="00FB5D63"/>
    <w:rsid w:val="00FB5E0F"/>
    <w:rsid w:val="00FB6AFF"/>
    <w:rsid w:val="00FC4D8F"/>
    <w:rsid w:val="00FD06D3"/>
    <w:rsid w:val="00FE3157"/>
    <w:rsid w:val="00FE6865"/>
    <w:rsid w:val="00FE6993"/>
    <w:rsid w:val="0B5D31E5"/>
    <w:rsid w:val="10BE4806"/>
    <w:rsid w:val="111F5BD6"/>
    <w:rsid w:val="18095F78"/>
    <w:rsid w:val="20FB0D70"/>
    <w:rsid w:val="2FBA5F21"/>
    <w:rsid w:val="302B2E59"/>
    <w:rsid w:val="327910AF"/>
    <w:rsid w:val="33DA7AC6"/>
    <w:rsid w:val="350D22AE"/>
    <w:rsid w:val="356B68E6"/>
    <w:rsid w:val="4159323C"/>
    <w:rsid w:val="50D7249E"/>
    <w:rsid w:val="59913DD4"/>
    <w:rsid w:val="5C4F1FDE"/>
    <w:rsid w:val="640C6DE1"/>
    <w:rsid w:val="65E164D5"/>
    <w:rsid w:val="69466D08"/>
    <w:rsid w:val="75852DBB"/>
    <w:rsid w:val="77EC549A"/>
    <w:rsid w:val="7C1A7573"/>
    <w:rsid w:val="7ED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4">
    <w:name w:val="heading 2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6"/>
    <w:qFormat/>
    <w:uiPriority w:val="9"/>
    <w:pPr>
      <w:ind w:right="300"/>
      <w:outlineLvl w:val="2"/>
    </w:pPr>
    <w:rPr>
      <w:rFonts w:ascii="仿宋_GB2312" w:eastAsia="仿宋_GB2312" w:cs="Times New Roman"/>
      <w:sz w:val="30"/>
      <w:szCs w:val="3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ocument Map"/>
    <w:basedOn w:val="1"/>
    <w:link w:val="40"/>
    <w:unhideWhenUsed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33"/>
    <w:unhideWhenUsed/>
    <w:qFormat/>
    <w:uiPriority w:val="99"/>
    <w:pPr>
      <w:jc w:val="left"/>
    </w:pPr>
    <w:rPr>
      <w:rFonts w:cs="Times New Roman"/>
    </w:rPr>
  </w:style>
  <w:style w:type="paragraph" w:styleId="8">
    <w:name w:val="Body Text"/>
    <w:basedOn w:val="1"/>
    <w:link w:val="45"/>
    <w:qFormat/>
    <w:uiPriority w:val="1"/>
    <w:pPr>
      <w:spacing w:before="190"/>
      <w:ind w:left="720"/>
      <w:jc w:val="left"/>
    </w:pPr>
    <w:rPr>
      <w:rFonts w:ascii="仿宋_GB2312" w:hAnsi="仿宋_GB2312" w:eastAsia="仿宋_GB2312" w:cs="Times New Roman"/>
      <w:kern w:val="0"/>
      <w:sz w:val="30"/>
      <w:szCs w:val="30"/>
      <w:lang w:eastAsia="en-US"/>
    </w:rPr>
  </w:style>
  <w:style w:type="paragraph" w:styleId="9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8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3">
    <w:name w:val="HTML Preformatted"/>
    <w:basedOn w:val="1"/>
    <w:link w:val="3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styleId="20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">
    <w:name w:val="juzho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5">
    <w:name w:val="列出段落11"/>
    <w:basedOn w:val="1"/>
    <w:qFormat/>
    <w:uiPriority w:val="34"/>
    <w:pPr>
      <w:ind w:firstLine="420" w:firstLineChars="200"/>
    </w:pPr>
    <w:rPr>
      <w:rFonts w:cs="Times New Roman"/>
    </w:rPr>
  </w:style>
  <w:style w:type="paragraph" w:customStyle="1" w:styleId="26">
    <w:name w:val="列出段落4"/>
    <w:basedOn w:val="1"/>
    <w:qFormat/>
    <w:uiPriority w:val="0"/>
    <w:pPr>
      <w:ind w:firstLine="200" w:firstLineChars="200"/>
    </w:pPr>
    <w:rPr>
      <w:rFonts w:cs="Times New Roman"/>
    </w:rPr>
  </w:style>
  <w:style w:type="paragraph" w:customStyle="1" w:styleId="27">
    <w:name w:val="列出段落3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29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30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31">
    <w:name w:val="批注框文本 Char"/>
    <w:basedOn w:val="17"/>
    <w:link w:val="9"/>
    <w:semiHidden/>
    <w:qFormat/>
    <w:uiPriority w:val="0"/>
    <w:rPr>
      <w:sz w:val="18"/>
      <w:szCs w:val="18"/>
    </w:rPr>
  </w:style>
  <w:style w:type="character" w:customStyle="1" w:styleId="32">
    <w:name w:val="HTML 预设格式 Char"/>
    <w:basedOn w:val="17"/>
    <w:link w:val="13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文字 Char"/>
    <w:basedOn w:val="17"/>
    <w:link w:val="7"/>
    <w:semiHidden/>
    <w:qFormat/>
    <w:uiPriority w:val="0"/>
    <w:rPr>
      <w:rFonts w:ascii="Calibri" w:hAnsi="Calibri" w:eastAsia="宋体" w:cs="Times New Roman"/>
    </w:rPr>
  </w:style>
  <w:style w:type="character" w:customStyle="1" w:styleId="34">
    <w:name w:val="标题 1 Char"/>
    <w:basedOn w:val="17"/>
    <w:link w:val="3"/>
    <w:qFormat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5">
    <w:name w:val="标题 2 Char"/>
    <w:basedOn w:val="17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标题 3 Char"/>
    <w:basedOn w:val="17"/>
    <w:link w:val="5"/>
    <w:qFormat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7">
    <w:name w:val="脚注文本 Char"/>
    <w:basedOn w:val="17"/>
    <w:semiHidden/>
    <w:qFormat/>
    <w:uiPriority w:val="99"/>
    <w:rPr>
      <w:kern w:val="2"/>
      <w:sz w:val="18"/>
      <w:szCs w:val="18"/>
    </w:rPr>
  </w:style>
  <w:style w:type="character" w:customStyle="1" w:styleId="38">
    <w:name w:val="脚注文本 Char1"/>
    <w:basedOn w:val="17"/>
    <w:link w:val="12"/>
    <w:semiHidden/>
    <w:qFormat/>
    <w:uiPriority w:val="0"/>
    <w:rPr>
      <w:rFonts w:ascii="Times New Roman" w:hAnsi="Times New Roman"/>
      <w:sz w:val="18"/>
      <w:szCs w:val="18"/>
    </w:rPr>
  </w:style>
  <w:style w:type="character" w:customStyle="1" w:styleId="39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40">
    <w:name w:val="文档结构图 Char"/>
    <w:basedOn w:val="17"/>
    <w:link w:val="6"/>
    <w:qFormat/>
    <w:uiPriority w:val="0"/>
    <w:rPr>
      <w:rFonts w:ascii="宋体"/>
      <w:sz w:val="18"/>
      <w:szCs w:val="18"/>
    </w:rPr>
  </w:style>
  <w:style w:type="character" w:customStyle="1" w:styleId="41">
    <w:name w:val="批注文字 Char1"/>
    <w:basedOn w:val="17"/>
    <w:semiHidden/>
    <w:qFormat/>
    <w:uiPriority w:val="99"/>
    <w:rPr>
      <w:kern w:val="2"/>
      <w:sz w:val="21"/>
      <w:szCs w:val="22"/>
    </w:rPr>
  </w:style>
  <w:style w:type="character" w:customStyle="1" w:styleId="42">
    <w:name w:val="明显强调1"/>
    <w:basedOn w:val="17"/>
    <w:qFormat/>
    <w:uiPriority w:val="21"/>
    <w:rPr>
      <w:b/>
      <w:bCs/>
      <w:i/>
      <w:iCs/>
      <w:color w:val="4F81BD"/>
    </w:rPr>
  </w:style>
  <w:style w:type="character" w:customStyle="1" w:styleId="43">
    <w:name w:val="文档结构图 Char1"/>
    <w:basedOn w:val="17"/>
    <w:semiHidden/>
    <w:qFormat/>
    <w:uiPriority w:val="99"/>
    <w:rPr>
      <w:rFonts w:ascii="宋体" w:eastAsia="宋体"/>
      <w:sz w:val="18"/>
      <w:szCs w:val="18"/>
    </w:rPr>
  </w:style>
  <w:style w:type="character" w:customStyle="1" w:styleId="44">
    <w:name w:val="脚注文本 Char2"/>
    <w:basedOn w:val="17"/>
    <w:semiHidden/>
    <w:qFormat/>
    <w:uiPriority w:val="99"/>
    <w:rPr>
      <w:sz w:val="18"/>
      <w:szCs w:val="18"/>
    </w:rPr>
  </w:style>
  <w:style w:type="character" w:customStyle="1" w:styleId="45">
    <w:name w:val="正文文本 Char"/>
    <w:basedOn w:val="17"/>
    <w:link w:val="8"/>
    <w:qFormat/>
    <w:uiPriority w:val="1"/>
    <w:rPr>
      <w:rFonts w:ascii="仿宋_GB2312" w:hAnsi="仿宋_GB2312" w:eastAsia="仿宋_GB2312" w:cs="Times New Roman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395</Words>
  <Characters>2253</Characters>
  <Lines>18</Lines>
  <Paragraphs>5</Paragraphs>
  <TotalTime>0</TotalTime>
  <ScaleCrop>false</ScaleCrop>
  <LinksUpToDate>false</LinksUpToDate>
  <CharactersWithSpaces>2643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2020-02-17T02:50:00Z</dcterms:created>
  <dc:creator>裴建君2</dc:creator>
  <cp:lastModifiedBy>USER</cp:lastModifiedBy>
  <cp:lastPrinted>2020-05-08T01:02:00Z</cp:lastPrinted>
  <dcterms:modified xsi:type="dcterms:W3CDTF">2023-03-03T00:48:15Z</dcterms:modified>
  <dc:title>编号：57013               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