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left"/>
        <w:rPr>
          <w:rFonts w:ascii="Times New Roman" w:hAnsi="Times New Roman" w:eastAsia="黑体" w:cs="Times New Roman"/>
          <w:sz w:val="48"/>
          <w:szCs w:val="48"/>
        </w:rPr>
      </w:pPr>
      <w:r>
        <w:rPr>
          <w:rFonts w:ascii="Times New Roman" w:hAnsi="Times New Roman" w:eastAsia="黑体" w:cs="Times New Roman"/>
          <w:sz w:val="48"/>
          <w:szCs w:val="48"/>
        </w:rPr>
        <w:t>编号：</w:t>
      </w:r>
      <w:r>
        <w:rPr>
          <w:rFonts w:hint="eastAsia" w:ascii="Times New Roman" w:hAnsi="Times New Roman" w:eastAsia="黑体" w:cs="Times New Roman"/>
          <w:sz w:val="48"/>
          <w:szCs w:val="48"/>
        </w:rPr>
        <w:t xml:space="preserve">000171112007         </w:t>
      </w:r>
      <w:r>
        <w:rPr>
          <w:rFonts w:ascii="Times New Roman" w:hAnsi="Times New Roman" w:eastAsia="黑体" w:cs="Times New Roman"/>
          <w:sz w:val="48"/>
          <w:szCs w:val="48"/>
        </w:rPr>
        <w:pict>
          <v:shape id="_x0000_i1025" o:spt="75" type="#_x0000_t75" style="height:69.75pt;width:87pt;" filled="f" o:preferrelative="t" stroked="f" coordsize="21600,21600">
            <v:path/>
            <v:fill on="f" focussize="0,0"/>
            <v:stroke on="f" joinstyle="miter"/>
            <v:imagedata r:id="rId6" o:title=""/>
            <o:lock v:ext="edit"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分局（外汇管理部）办理的银行支行（含农村信用社）及下辖机构即期结售汇业务市场准入审批</w:t>
      </w:r>
      <w:r>
        <w:rPr>
          <w:rFonts w:ascii="Times New Roman" w:hAnsi="Times New Roman" w:eastAsia="黑体" w:cs="Times New Roman"/>
          <w:sz w:val="52"/>
          <w:szCs w:val="52"/>
        </w:rPr>
        <w:t>”</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江苏省分局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jc w:val="left"/>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1.行政许可事项名称及编码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经营或者终止结售汇业务审批【00017111200Y】</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2.行政许可事项子项名称及编码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分局（外汇管理部）办理的银行支行（含农村信用社）及下辖机构即期结售汇业务市场准入审批【000171112007】</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3.行政许可事项业务办理项名称及编码</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分局（外汇管理部）办理的银行支行（含农村信用社）及下辖机构即期结售汇业务市场准入审批（00017111200701）</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ascii="Times New Roman" w:hAnsi="Times New Roman" w:eastAsia="仿宋_GB2312" w:cs="Times New Roman"/>
          <w:sz w:val="30"/>
          <w:szCs w:val="30"/>
        </w:rPr>
        <w:t>分局（外汇管理部）办理的银行支行（含农村信用社）及下辖机构即期结售汇业务市场准入审批</w:t>
      </w:r>
      <w:r>
        <w:rPr>
          <w:rFonts w:ascii="Times New Roman" w:hAnsi="Times New Roman" w:eastAsia="仿宋_GB2312" w:cs="Times New Roman"/>
          <w:sz w:val="30"/>
          <w:szCs w:val="30"/>
        </w:rPr>
        <w:t>”的申请和办理。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《银行办理结售汇业务管理办法》（中国人民银行令2014年2号）第二条、第三条</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《银行办理结售汇业务管理办法实施细则》（汇发〔2014〕53号文印发）第十二条</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《国家外汇管理局行政许可实施办法》（国家外汇管理局公告2021年第1号）全文</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所在地国家外汇管理局</w:t>
      </w:r>
      <w:r>
        <w:rPr>
          <w:rFonts w:hint="eastAsia" w:ascii="Times New Roman" w:hAnsi="Times New Roman" w:eastAsia="仿宋_GB2312" w:cs="Times New Roman"/>
          <w:sz w:val="30"/>
          <w:szCs w:val="30"/>
        </w:rPr>
        <w:t>分局（外汇管理部）</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所在地国家外汇管理局</w:t>
      </w:r>
      <w:r>
        <w:rPr>
          <w:rFonts w:hint="eastAsia" w:ascii="Times New Roman" w:hAnsi="Times New Roman" w:eastAsia="仿宋_GB2312" w:cs="Times New Roman"/>
          <w:sz w:val="30"/>
          <w:szCs w:val="30"/>
        </w:rPr>
        <w:t>分局（外汇管理部）</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审批数量</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lang w:eastAsia="zh-CN"/>
        </w:rPr>
        <w:t>。</w:t>
      </w:r>
      <w:bookmarkStart w:id="0" w:name="_GoBack"/>
      <w:bookmarkEnd w:id="0"/>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银行总行及申请机构的上级分支行应具备完善的结售汇业务管理制度，即执行外汇管理规定情况考核等级最近一次为B级以上</w:t>
      </w:r>
      <w:r>
        <w:rPr>
          <w:rFonts w:ascii="Times New Roman" w:hAnsi="Times New Roman" w:eastAsia="仿宋_GB2312" w:cs="Times New Roman"/>
          <w:sz w:val="30"/>
          <w:szCs w:val="30"/>
        </w:rPr>
        <w:t>。</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九、</w:t>
      </w:r>
      <w:r>
        <w:rPr>
          <w:rFonts w:hint="eastAsia" w:ascii="Times New Roman" w:hAnsi="Times New Roman" w:eastAsia="黑体" w:cs="Times New Roman"/>
          <w:sz w:val="30"/>
          <w:szCs w:val="30"/>
        </w:rPr>
        <w:t>申请材料</w:t>
      </w:r>
    </w:p>
    <w:tbl>
      <w:tblPr>
        <w:tblStyle w:val="14"/>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976"/>
        <w:gridCol w:w="993"/>
        <w:gridCol w:w="457"/>
        <w:gridCol w:w="818"/>
        <w:gridCol w:w="851"/>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7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《银行办理即期结售汇业务备案表》</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851" w:type="dxa"/>
            <w:vAlign w:val="center"/>
          </w:tcPr>
          <w:p>
            <w:pPr>
              <w:jc w:val="left"/>
              <w:rPr>
                <w:rFonts w:ascii="Times New Roman" w:hAnsi="Times New Roman" w:eastAsia="仿宋_GB2312" w:cs="Times New Roman"/>
                <w:sz w:val="24"/>
                <w:szCs w:val="24"/>
              </w:rPr>
            </w:pPr>
          </w:p>
        </w:tc>
        <w:tc>
          <w:tcPr>
            <w:tcW w:w="177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下辖机构可以由支行集中办理备案手续，见附录二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《金融许可证》复印件</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851" w:type="dxa"/>
            <w:vAlign w:val="center"/>
          </w:tcPr>
          <w:p>
            <w:pPr>
              <w:jc w:val="center"/>
              <w:rPr>
                <w:rFonts w:ascii="Times New Roman" w:hAnsi="Times New Roman" w:eastAsia="仿宋_GB2312" w:cs="Times New Roman"/>
                <w:sz w:val="24"/>
                <w:szCs w:val="24"/>
              </w:rPr>
            </w:pPr>
          </w:p>
        </w:tc>
        <w:tc>
          <w:tcPr>
            <w:tcW w:w="1773" w:type="dxa"/>
            <w:vAlign w:val="center"/>
          </w:tcPr>
          <w:p>
            <w:pPr>
              <w:jc w:val="center"/>
              <w:rPr>
                <w:rFonts w:ascii="Times New Roman" w:hAnsi="Times New Roman" w:eastAsia="仿宋_GB2312" w:cs="Times New Roman"/>
                <w:sz w:val="24"/>
                <w:szCs w:val="24"/>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w:t>
      </w:r>
      <w:r>
        <w:rPr>
          <w:rFonts w:ascii="Times New Roman" w:hAnsi="Times New Roman" w:eastAsia="黑体" w:cs="Times New Roman"/>
          <w:sz w:val="30"/>
          <w:szCs w:val="30"/>
        </w:rPr>
        <w:t>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、国家外汇管理局政务服务网上办理系统（http://zwfw.safe.gov.cn/asone</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十一、</w:t>
      </w:r>
      <w:r>
        <w:rPr>
          <w:rFonts w:ascii="Times New Roman" w:hAnsi="Times New Roman" w:eastAsia="黑体" w:cs="Times New Roman"/>
          <w:sz w:val="30"/>
          <w:szCs w:val="30"/>
        </w:rPr>
        <w:t>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w:t>
      </w:r>
      <w:r>
        <w:rPr>
          <w:rFonts w:hint="eastAsia" w:ascii="Times New Roman" w:hAnsi="Times New Roman" w:eastAsia="仿宋_GB2312" w:cs="Times New Roman"/>
          <w:sz w:val="30"/>
          <w:szCs w:val="30"/>
        </w:rPr>
        <w:t>《银行办理即期结售汇业务备案表》</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十二、</w:t>
      </w:r>
      <w:r>
        <w:rPr>
          <w:rFonts w:ascii="Times New Roman" w:hAnsi="Times New Roman" w:eastAsia="黑体" w:cs="Times New Roman"/>
          <w:sz w:val="30"/>
          <w:szCs w:val="30"/>
        </w:rPr>
        <w:t>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w:t>
      </w:r>
      <w:r>
        <w:rPr>
          <w:rFonts w:hint="eastAsia" w:ascii="Times New Roman" w:hAnsi="Times New Roman" w:eastAsia="仿宋_GB2312" w:cs="Times New Roman"/>
          <w:sz w:val="30"/>
          <w:szCs w:val="30"/>
        </w:rPr>
        <w:t>《银行办理即期结售汇业务备案表》</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十三、</w:t>
      </w:r>
      <w:r>
        <w:rPr>
          <w:rFonts w:ascii="Times New Roman" w:hAnsi="Times New Roman" w:eastAsia="黑体" w:cs="Times New Roman"/>
          <w:sz w:val="30"/>
          <w:szCs w:val="30"/>
        </w:rPr>
        <w:t>审批时限</w:t>
      </w:r>
    </w:p>
    <w:p>
      <w:pPr>
        <w:adjustRightInd w:val="0"/>
        <w:snapToGrid w:val="0"/>
        <w:spacing w:line="360" w:lineRule="auto"/>
        <w:ind w:left="582" w:leftChars="277"/>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left="582" w:leftChars="277"/>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十四、</w:t>
      </w:r>
      <w:r>
        <w:rPr>
          <w:rFonts w:ascii="Times New Roman" w:hAnsi="Times New Roman" w:eastAsia="黑体" w:cs="Times New Roman"/>
          <w:sz w:val="30"/>
          <w:szCs w:val="30"/>
        </w:rPr>
        <w:t>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十五、</w:t>
      </w:r>
      <w:r>
        <w:rPr>
          <w:rFonts w:ascii="Times New Roman" w:hAnsi="Times New Roman" w:eastAsia="黑体" w:cs="Times New Roman"/>
          <w:sz w:val="30"/>
          <w:szCs w:val="30"/>
        </w:rPr>
        <w:t>审批结果</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《银行办理即期结售汇业务备案表》</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ascii="Times New Roman" w:hAnsi="Times New Roman" w:eastAsia="黑体" w:cs="Times New Roman"/>
          <w:sz w:val="30"/>
          <w:szCs w:val="30"/>
        </w:rPr>
        <w:t>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事项审查类型</w:t>
      </w:r>
    </w:p>
    <w:p>
      <w:pPr>
        <w:adjustRightInd w:val="0"/>
        <w:snapToGrid w:val="0"/>
        <w:spacing w:line="360" w:lineRule="auto"/>
        <w:ind w:firstLine="6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十九、</w:t>
      </w:r>
      <w:r>
        <w:rPr>
          <w:rFonts w:hint="eastAsia" w:ascii="Times New Roman" w:hAnsi="Times New Roman" w:eastAsia="黑体" w:cs="Times New Roman"/>
          <w:sz w:val="30"/>
          <w:szCs w:val="30"/>
        </w:rPr>
        <w:t>咨询途径、监督和投诉、办公地址和时间、公开查询方式等</w:t>
      </w:r>
    </w:p>
    <w:p>
      <w:pPr>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注册所在地外汇</w:t>
      </w:r>
      <w:r>
        <w:rPr>
          <w:rFonts w:hint="eastAsia" w:ascii="Times New Roman" w:hAnsi="Times New Roman" w:eastAsia="仿宋_GB2312" w:cs="Times New Roman"/>
          <w:sz w:val="30"/>
          <w:szCs w:val="30"/>
        </w:rPr>
        <w:t>局进行咨询、办理进程查询、监督和投诉等</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可通过国家外汇管理局官方互联网站www.safe.gov.cn链接至江苏分局“业务指南”栏目中公布的电话进行。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w:t>
      </w:r>
      <w:r>
        <w:rPr>
          <w:rFonts w:ascii="Times New Roman" w:hAnsi="Times New Roman" w:eastAsia="黑体" w:cs="Times New Roman"/>
          <w:sz w:val="30"/>
          <w:szCs w:val="30"/>
        </w:rPr>
        <w:t>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二十一、</w:t>
      </w:r>
      <w:r>
        <w:rPr>
          <w:rFonts w:ascii="Times New Roman" w:hAnsi="Times New Roman" w:eastAsia="黑体" w:cs="Times New Roman"/>
          <w:sz w:val="30"/>
          <w:szCs w:val="30"/>
        </w:rPr>
        <w:t>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w:t>
      </w:r>
      <w:r>
        <w:rPr>
          <w:rFonts w:hint="eastAsia" w:ascii="Times New Roman" w:hAnsi="Times New Roman" w:eastAsia="仿宋_GB2312" w:cs="Times New Roman"/>
          <w:sz w:val="30"/>
          <w:szCs w:val="30"/>
        </w:rPr>
        <w:t>有关内容要求详见</w:t>
      </w:r>
      <w:r>
        <w:rPr>
          <w:rFonts w:hint="eastAsia" w:ascii="Times New Roman" w:hAnsi="Times New Roman" w:eastAsia="仿宋_GB2312" w:cs="Times New Roman"/>
          <w:sz w:val="30"/>
          <w:szCs w:val="30"/>
          <w:lang w:eastAsia="zh-CN"/>
        </w:rPr>
        <w:t>“九、</w:t>
      </w:r>
      <w:r>
        <w:rPr>
          <w:rFonts w:hint="eastAsia" w:ascii="Times New Roman" w:hAnsi="Times New Roman" w:eastAsia="仿宋_GB2312" w:cs="Times New Roman"/>
          <w:sz w:val="30"/>
          <w:szCs w:val="30"/>
        </w:rPr>
        <w:t>申请材料</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二十二、</w:t>
      </w:r>
      <w:r>
        <w:rPr>
          <w:rFonts w:ascii="Times New Roman" w:hAnsi="Times New Roman" w:eastAsia="黑体" w:cs="Times New Roman"/>
          <w:sz w:val="30"/>
          <w:szCs w:val="30"/>
        </w:rPr>
        <w:t>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二十三、</w:t>
      </w:r>
      <w:r>
        <w:rPr>
          <w:rFonts w:ascii="Times New Roman" w:hAnsi="Times New Roman" w:eastAsia="黑体" w:cs="Times New Roman"/>
          <w:sz w:val="30"/>
          <w:szCs w:val="30"/>
        </w:rPr>
        <w:t>常见错误示例</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t>申请材料不完全符合规定，例如《金融许可证》复印件未加盖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rect id="Rectangle 399" o:spid="_x0000_s1027" o:spt="1" style="position:absolute;left:0pt;margin-left:-1.45pt;margin-top:0.15pt;height:68.9pt;width:148.4pt;z-index:251675648;mso-width-relative:page;mso-height-relative:page;" o:preferrelative="t" coordsize="21600,21600">
            <v:path/>
            <v:fill focussize="0,0"/>
            <v:stroke miterlimit="2"/>
            <v:imagedata o:title=""/>
            <o:lock v:ext="edit"/>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申请人以现场、邮寄、国家外汇管理局政务服务网上办理系统等提出书面申请，并提交材料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rect id="Rectangle 394" o:spid="_x0000_s1028" o:spt="1" style="position:absolute;left:0pt;margin-left:273.6pt;margin-top:26.7pt;height:39.8pt;width:104.7pt;z-index:251670528;mso-width-relative:page;mso-height-relative:page;" o:preferrelative="t" coordsize="21600,21600">
            <v:path/>
            <v:fill focussize="0,0"/>
            <v:stroke miterlimit="2"/>
            <v:imagedata o:title=""/>
            <o:lock v:ext="edit"/>
            <v:textbox>
              <w:txbxContent>
                <w:p>
                  <w:pPr>
                    <w:jc w:val="center"/>
                  </w:pPr>
                  <w:r>
                    <w:rPr>
                      <w:rFonts w:hint="eastAsia"/>
                    </w:rPr>
                    <w:t>申请人补全材料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shape id="Straight Connector 387" o:spid="_x0000_s1029" o:spt="32" type="#_x0000_t32" style="position:absolute;left:0pt;flip:x;margin-left:41.45pt;margin-top:21.05pt;height:0.05pt;width:232.15pt;z-index:251663360;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3" o:spid="_x0000_s1030" o:spt="32" type="#_x0000_t32" style="position:absolute;left:0pt;margin-left:40.6pt;margin-top:6.65pt;height:73.4pt;width:0.85pt;z-index:251659264;mso-width-relative:page;mso-height-relative:page;" o:connectortype="straight" filled="f" o:preferrelative="t" coordsize="21600,21600">
            <v:path arrowok="t"/>
            <v:fill on="f" focussize="0,0"/>
            <v:stroke miterlimit="2" endarrow="block"/>
            <v:imagedata o:title=""/>
            <o:lock v:ext="edit"/>
          </v:shape>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pict>
          <v:shape id="Straight Connector 392" o:spid="_x0000_s1031" o:spt="32" type="#_x0000_t32" style="position:absolute;left:0pt;margin-left:40.6pt;margin-top:182.85pt;height:0.05pt;width:41.1pt;z-index:251668480;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91" o:spid="_x0000_s1032" o:spt="32" type="#_x0000_t32" style="position:absolute;left:0pt;margin-left:40.6pt;margin-top:113.3pt;height:69.55pt;width:0.05pt;z-index:251667456;mso-width-relative:page;mso-height-relative:page;" o:connectortype="straight" filled="f" o:preferrelative="t" coordsize="21600,21600">
            <v:path arrowok="t"/>
            <v:fill on="f" focussize="0,0"/>
            <v:stroke miterlimit="2"/>
            <v:imagedata o:title=""/>
            <o:lock v:ext="edit"/>
          </v:shape>
        </w:pict>
      </w:r>
      <w:r>
        <w:rPr>
          <w:rFonts w:ascii="Times New Roman" w:hAnsi="Times New Roman" w:eastAsia="仿宋_GB2312" w:cs="Times New Roman"/>
          <w:sz w:val="30"/>
          <w:szCs w:val="30"/>
        </w:rPr>
        <w:pict>
          <v:shape id="Straight Connector 385" o:spid="_x0000_s1033" o:spt="32" type="#_x0000_t32" style="position:absolute;left:0pt;margin-left:93.35pt;margin-top:101.65pt;height:0.05pt;width:58.6pt;z-index:251661312;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9" o:spid="_x0000_s1034" o:spt="32" type="#_x0000_t32" style="position:absolute;left:0pt;margin-left:237.35pt;margin-top:253.15pt;height:45.25pt;width:0.85pt;z-index:251665408;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90" o:spid="_x0000_s1035" o:spt="32" type="#_x0000_t32" style="position:absolute;left:0pt;margin-left:131.6pt;margin-top:253.15pt;height:45.25pt;width:0.05pt;z-index:251666432;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8" o:spid="_x0000_s1036" o:spt="32" type="#_x0000_t32" style="position:absolute;left:0pt;margin-left:179.6pt;margin-top:204.6pt;height:21.85pt;width:0.05pt;z-index:251664384;mso-width-relative:page;mso-height-relative:page;" o:connectortype="straight" filled="f" o:preferrelative="t" coordsize="21600,21600">
            <v:path arrowok="t"/>
            <v:fill on="f" focussize="0,0"/>
            <v:stroke miterlimit="2" endarrow="block"/>
            <v:imagedata o:title=""/>
            <o:lock v:ext="edit"/>
          </v:shape>
        </w:pict>
      </w:r>
    </w:p>
    <w:p>
      <w:pPr>
        <w:ind w:right="300"/>
        <w:rPr>
          <w:rFonts w:ascii="Times New Roman" w:hAnsi="Times New Roman" w:eastAsia="黑体" w:cs="Times New Roman"/>
          <w:sz w:val="48"/>
          <w:szCs w:val="48"/>
        </w:rPr>
        <w:sectPr>
          <w:footerReference r:id="rId4" w:type="default"/>
          <w:type w:val="continuous"/>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pict>
          <v:shape id="Straight Connector 384" o:spid="_x0000_s1037" o:spt="32" type="#_x0000_t32" style="position:absolute;left:0pt;margin-left:89.25pt;margin-top:61.45pt;height:0.05pt;width:62.7pt;z-index:251660288;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黑体" w:cs="Times New Roman"/>
          <w:sz w:val="48"/>
          <w:szCs w:val="48"/>
        </w:rPr>
        <w:pict>
          <v:rect id="Rectangle 401" o:spid="_x0000_s1038" o:spt="1" style="position:absolute;left:0pt;margin-left:199.5pt;margin-top:298.4pt;height:69.85pt;width:87.35pt;z-index:251677696;mso-width-relative:page;mso-height-relative:page;" fillcolor="#FFFFFF" filled="t" stroked="t" coordsize="21600,21600">
            <v:path/>
            <v:fill on="t" color2="#FFFFFF" focussize="0,0"/>
            <v:stroke color="#000000" joinstyle="miter"/>
            <v:imagedata o:title=""/>
            <o:lock v:ext="edit" aspectratio="f"/>
            <v:textbox>
              <w:txbxContent>
                <w:p>
                  <w:r>
                    <w:rPr>
                      <w:rFonts w:hint="eastAsia"/>
                    </w:rPr>
                    <w:t>依法作出不予许可决定，并送达</w:t>
                  </w:r>
                </w:p>
                <w:p/>
              </w:txbxContent>
            </v:textbox>
          </v:rect>
        </w:pict>
      </w:r>
      <w:r>
        <w:rPr>
          <w:rFonts w:ascii="Times New Roman" w:hAnsi="Times New Roman" w:eastAsia="黑体" w:cs="Times New Roman"/>
          <w:sz w:val="48"/>
          <w:szCs w:val="48"/>
        </w:rPr>
        <w:pict>
          <v:rect id="Rectangle 400" o:spid="_x0000_s1039" o:spt="1" style="position:absolute;left:0pt;margin-left:81.65pt;margin-top:298.4pt;height:70.4pt;width:87.35pt;z-index:251676672;mso-width-relative:page;mso-height-relative:page;" fillcolor="#FFFFFF" filled="t" stroked="t" coordsize="21600,21600">
            <v:path/>
            <v:fill on="t" color2="#FFFFFF" focussize="0,0"/>
            <v:stroke color="#000000" joinstyle="miter"/>
            <v:imagedata o:title=""/>
            <o:lock v:ext="edit" aspectratio="f"/>
            <v:textbox>
              <w:txbxContent>
                <w:p>
                  <w:r>
                    <w:rPr>
                      <w:rFonts w:hint="eastAsia"/>
                    </w:rPr>
                    <w:t>予以许可，向申请人出具《银行办理即期结售汇业务备案表》</w:t>
                  </w:r>
                </w:p>
                <w:p/>
              </w:txbxContent>
            </v:textbox>
          </v:rect>
        </w:pict>
      </w:r>
      <w:r>
        <w:rPr>
          <w:rFonts w:ascii="Times New Roman" w:hAnsi="Times New Roman" w:eastAsia="黑体" w:cs="Times New Roman"/>
          <w:sz w:val="48"/>
          <w:szCs w:val="48"/>
        </w:rPr>
        <w:pict>
          <v:rect id="Rectangle 398" o:spid="_x0000_s1040" o:spt="1" style="position:absolute;left:0pt;margin-left:81.7pt;margin-top:226.45pt;height:26.7pt;width:212.6pt;z-index:251674624;mso-width-relative:page;mso-height-relative:page;" o:preferrelative="t" coordsize="21600,21600">
            <v:path/>
            <v:fill focussize="0,0"/>
            <v:stroke miterlimit="2"/>
            <v:imagedata o:title=""/>
            <o:lock v:ext="edit"/>
            <v:textbox>
              <w:txbxContent>
                <w:p>
                  <w:pPr>
                    <w:jc w:val="center"/>
                  </w:pPr>
                  <w:r>
                    <w:rPr>
                      <w:rFonts w:hint="eastAsia"/>
                    </w:rPr>
                    <w:t>审查报批</w:t>
                  </w:r>
                </w:p>
                <w:p/>
              </w:txbxContent>
            </v:textbox>
          </v:rect>
        </w:pict>
      </w:r>
      <w:r>
        <w:rPr>
          <w:rFonts w:ascii="Times New Roman" w:hAnsi="Times New Roman" w:eastAsia="黑体" w:cs="Times New Roman"/>
          <w:sz w:val="48"/>
          <w:szCs w:val="48"/>
        </w:rPr>
        <w:pict>
          <v:rect id="Rectangle 397" o:spid="_x0000_s1041" o:spt="1" style="position:absolute;left:0pt;margin-left:81.65pt;margin-top:174.45pt;height:30.15pt;width:205.2pt;z-index:251673600;mso-width-relative:page;mso-height-relative:page;" o:preferrelative="t" coordsize="21600,21600">
            <v:path/>
            <v:fill focussize="0,0"/>
            <v:stroke miterlimit="2"/>
            <v:imagedata o:title=""/>
            <o:lock v:ext="edit"/>
            <v:textbox>
              <w:txbxContent>
                <w:p>
                  <w:pPr>
                    <w:jc w:val="center"/>
                  </w:pPr>
                  <w:r>
                    <w:rPr>
                      <w:rFonts w:hint="eastAsia"/>
                    </w:rPr>
                    <w:t>依法应予受理，出具受理单</w:t>
                  </w:r>
                </w:p>
                <w:p/>
              </w:txbxContent>
            </v:textbox>
          </v:rect>
        </w:pict>
      </w:r>
      <w:r>
        <w:rPr>
          <w:rFonts w:ascii="Times New Roman" w:hAnsi="Times New Roman" w:eastAsia="仿宋_GB2312" w:cs="Times New Roman"/>
          <w:sz w:val="30"/>
          <w:szCs w:val="30"/>
        </w:rPr>
        <w:pict>
          <v:shape id="Straight Connector 386" o:spid="_x0000_s1042" o:spt="32" type="#_x0000_t32" style="position:absolute;left:0pt;flip:y;margin-left:319.55pt;margin-top:4.1pt;height:44.75pt;width:0.05pt;z-index:251662336;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黑体" w:cs="Times New Roman"/>
          <w:sz w:val="48"/>
          <w:szCs w:val="48"/>
        </w:rPr>
        <w:pict>
          <v:rect id="Rectangle 396" o:spid="_x0000_s1043" o:spt="1" style="position:absolute;left:0pt;margin-left:151.95pt;margin-top:91.45pt;height:45.3pt;width:268.1pt;z-index:251672576;mso-width-relative:page;mso-height-relative:page;" o:preferrelative="t" coordsize="21600,21600">
            <v:path/>
            <v:fill focussize="0,0"/>
            <v:stroke miterlimit="2"/>
            <v:imagedata o:title=""/>
            <o:lock v:ext="edit"/>
            <v:textbox>
              <w:txbxContent>
                <w:p>
                  <w:r>
                    <w:rPr>
                      <w:rFonts w:hint="eastAsia"/>
                    </w:rPr>
                    <w:t>依法不予受理的，作出不予受理决定，出具不予受理通知书</w:t>
                  </w:r>
                </w:p>
              </w:txbxContent>
            </v:textbox>
          </v:rect>
        </w:pict>
      </w:r>
      <w:r>
        <w:rPr>
          <w:rFonts w:ascii="Times New Roman" w:hAnsi="Times New Roman" w:eastAsia="黑体" w:cs="Times New Roman"/>
          <w:sz w:val="48"/>
          <w:szCs w:val="48"/>
        </w:rPr>
        <w:pict>
          <v:rect id="Rectangle 395" o:spid="_x0000_s1044" o:spt="1" style="position:absolute;left:0pt;margin-left:151.95pt;margin-top:48.85pt;height:25pt;width:268.1pt;z-index:251671552;mso-width-relative:page;mso-height-relative:page;" o:preferrelative="t" coordsize="21600,21600">
            <v:path/>
            <v:fill focussize="0,0"/>
            <v:stroke miterlimit="2"/>
            <v:imagedata o:title=""/>
            <o:lock v:ext="edit"/>
            <v:textbox>
              <w:txbxContent>
                <w:p>
                  <w:r>
                    <w:rPr>
                      <w:rFonts w:hint="eastAsia"/>
                    </w:rPr>
                    <w:t>材料不全或不符合法定形式的，一次性告知补正材料</w:t>
                  </w:r>
                </w:p>
                <w:p/>
              </w:txbxContent>
            </v:textbox>
          </v:rect>
        </w:pict>
      </w:r>
      <w:r>
        <w:rPr>
          <w:rFonts w:ascii="Times New Roman" w:hAnsi="Times New Roman" w:eastAsia="黑体" w:cs="Times New Roman"/>
          <w:sz w:val="48"/>
          <w:szCs w:val="48"/>
        </w:rPr>
        <w:pict>
          <v:shape id="Flowchart: Decision 393" o:spid="_x0000_s1045" o:spt="110" type="#_x0000_t110" style="position:absolute;left:0pt;margin-left:-39.65pt;margin-top:35.35pt;height:94.45pt;width:163.7pt;z-index:251669504;mso-width-relative:page;mso-height-relative:page;" o:preferrelative="t" coordsize="21600,21600">
            <v:path/>
            <v:fill focussize="0,0"/>
            <v:stroke miterlimit="2"/>
            <v:imagedata o:title=""/>
            <o:lock v:ext="edit"/>
            <v:textbox>
              <w:txbxContent>
                <w:p>
                  <w:r>
                    <w:rPr>
                      <w:rFonts w:hint="eastAsia"/>
                    </w:rPr>
                    <w:t>接件并当场（或5个工作日）作出是否受理决定</w:t>
                  </w:r>
                </w:p>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银行办理即期结售汇业务备案表</w:t>
      </w:r>
    </w:p>
    <w:tbl>
      <w:tblPr>
        <w:tblStyle w:val="15"/>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备案银行</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营业地址</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金融许可证机构编码</w:t>
            </w:r>
          </w:p>
        </w:tc>
        <w:tc>
          <w:tcPr>
            <w:tcW w:w="2840" w:type="dxa"/>
            <w:gridSpan w:val="2"/>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金融许可证编号</w:t>
            </w:r>
          </w:p>
        </w:tc>
        <w:tc>
          <w:tcPr>
            <w:tcW w:w="2842" w:type="dxa"/>
            <w:gridSpan w:val="2"/>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批准机关</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金融机构标识码</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□已赋码号码为：</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□未赋码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授权经营结售汇业务的上级行名称</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上级行授权时间</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结售汇业务备案类型</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□对公结售汇业务  □对私结售汇业务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银行结售汇统计数据报送方式</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□并入上级行报送上级行名称：</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□本行单独报送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个人外汇业务监测系统（备案对私结售汇业务需填写）</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是否已满足网络接入和设备要求：</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个人外汇业务监测系统使用身份：</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□用上级行代码登录上级行名称：</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□用本行代码登录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restart"/>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联系人员</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职责</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姓名</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w:t>
            </w:r>
          </w:p>
        </w:tc>
        <w:tc>
          <w:tcPr>
            <w:tcW w:w="1421"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职务</w:t>
            </w:r>
          </w:p>
        </w:tc>
        <w:tc>
          <w:tcPr>
            <w:tcW w:w="1421"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主管行长</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部门负责人</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业务联系人</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6"/>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声明：</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以上情况全部属实，如有不真实，愿承担由此引起的法律责任。</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授权银行签章</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备案银行签章</w:t>
            </w:r>
          </w:p>
          <w:p>
            <w:pPr>
              <w:widowControl/>
              <w:ind w:firstLine="720" w:firstLineChars="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日</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6"/>
          </w:tcPr>
          <w:p>
            <w:pPr>
              <w:widowControl/>
              <w:jc w:val="right"/>
              <w:rPr>
                <w:rFonts w:ascii="Times New Roman" w:hAnsi="Times New Roman" w:eastAsia="仿宋_GB2312" w:cs="Times New Roman"/>
                <w:kern w:val="0"/>
                <w:sz w:val="24"/>
                <w:szCs w:val="24"/>
              </w:rPr>
            </w:pPr>
          </w:p>
          <w:p>
            <w:pPr>
              <w:widowControl/>
              <w:wordWrap w:val="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国家外汇管理局</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分支局</w:t>
            </w:r>
          </w:p>
          <w:p>
            <w:pPr>
              <w:widowControl/>
              <w:ind w:right="72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（签章）</w:t>
            </w:r>
          </w:p>
          <w:p>
            <w:pPr>
              <w:widowControl/>
              <w:ind w:right="48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日</w:t>
            </w:r>
          </w:p>
        </w:tc>
      </w:tr>
    </w:tbl>
    <w:p>
      <w:pPr>
        <w:widowControl/>
        <w:jc w:val="left"/>
        <w:rPr>
          <w:rFonts w:ascii="Times New Roman" w:hAnsi="Times New Roman" w:cs="Times New Roman"/>
        </w:rPr>
      </w:pPr>
      <w:r>
        <w:rPr>
          <w:rFonts w:ascii="Times New Roman" w:hAnsi="Times New Roman" w:eastAsia="仿宋_GB2312" w:cs="Times New Roman"/>
          <w:kern w:val="0"/>
          <w:sz w:val="24"/>
          <w:szCs w:val="24"/>
        </w:rPr>
        <w:t>附注：1、本表仅适用于银行分支机构。2、申请办理即期结售汇业务的银行营业网点无行政公章的，可以使用上级行行政公章替代，但其上级行需出具申请行无行政公章的说明材料。</w:t>
      </w:r>
    </w:p>
    <w:p>
      <w:pPr>
        <w:widowControl/>
        <w:jc w:val="left"/>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8</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191</w:t>
    </w:r>
    <w:r>
      <w:rPr>
        <w:lang w:val="zh-CN"/>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B131E"/>
    <w:rsid w:val="00000F77"/>
    <w:rsid w:val="00003372"/>
    <w:rsid w:val="00022191"/>
    <w:rsid w:val="00023783"/>
    <w:rsid w:val="000247F5"/>
    <w:rsid w:val="00041960"/>
    <w:rsid w:val="00042B58"/>
    <w:rsid w:val="00054B00"/>
    <w:rsid w:val="00055270"/>
    <w:rsid w:val="00057F76"/>
    <w:rsid w:val="0006560A"/>
    <w:rsid w:val="00072F8A"/>
    <w:rsid w:val="000750C8"/>
    <w:rsid w:val="00080630"/>
    <w:rsid w:val="00084C01"/>
    <w:rsid w:val="00091661"/>
    <w:rsid w:val="00092D53"/>
    <w:rsid w:val="00096CBB"/>
    <w:rsid w:val="00097F7B"/>
    <w:rsid w:val="000B2B1C"/>
    <w:rsid w:val="000B6901"/>
    <w:rsid w:val="000B728B"/>
    <w:rsid w:val="000C15B3"/>
    <w:rsid w:val="000C2B33"/>
    <w:rsid w:val="000C6C10"/>
    <w:rsid w:val="000D0A1D"/>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81FAD"/>
    <w:rsid w:val="00196FAE"/>
    <w:rsid w:val="001A3E49"/>
    <w:rsid w:val="001A72AA"/>
    <w:rsid w:val="001B1E2C"/>
    <w:rsid w:val="001B7AA8"/>
    <w:rsid w:val="001C44C7"/>
    <w:rsid w:val="001D65A2"/>
    <w:rsid w:val="001E1407"/>
    <w:rsid w:val="001E7A1C"/>
    <w:rsid w:val="001F4BD4"/>
    <w:rsid w:val="001F7297"/>
    <w:rsid w:val="00205D07"/>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3539"/>
    <w:rsid w:val="002D4BEB"/>
    <w:rsid w:val="002E1323"/>
    <w:rsid w:val="002E6E2B"/>
    <w:rsid w:val="002F3868"/>
    <w:rsid w:val="00302119"/>
    <w:rsid w:val="00302E87"/>
    <w:rsid w:val="00310261"/>
    <w:rsid w:val="00325D3D"/>
    <w:rsid w:val="00343044"/>
    <w:rsid w:val="00344B01"/>
    <w:rsid w:val="00353AC4"/>
    <w:rsid w:val="003609CB"/>
    <w:rsid w:val="003616B4"/>
    <w:rsid w:val="003A57B2"/>
    <w:rsid w:val="003C35D1"/>
    <w:rsid w:val="003C7132"/>
    <w:rsid w:val="003D77A5"/>
    <w:rsid w:val="003E6567"/>
    <w:rsid w:val="003E6BF6"/>
    <w:rsid w:val="003F221D"/>
    <w:rsid w:val="003F3097"/>
    <w:rsid w:val="00402AE8"/>
    <w:rsid w:val="00405FE6"/>
    <w:rsid w:val="004061E2"/>
    <w:rsid w:val="004105BC"/>
    <w:rsid w:val="0041722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545A"/>
    <w:rsid w:val="004B7E80"/>
    <w:rsid w:val="004C457E"/>
    <w:rsid w:val="004C48D5"/>
    <w:rsid w:val="004D03B7"/>
    <w:rsid w:val="004D1436"/>
    <w:rsid w:val="004D57AE"/>
    <w:rsid w:val="00500149"/>
    <w:rsid w:val="005056D4"/>
    <w:rsid w:val="00526B2B"/>
    <w:rsid w:val="0053236D"/>
    <w:rsid w:val="005362B0"/>
    <w:rsid w:val="00542447"/>
    <w:rsid w:val="00557EB9"/>
    <w:rsid w:val="00564312"/>
    <w:rsid w:val="00567664"/>
    <w:rsid w:val="005A2981"/>
    <w:rsid w:val="005B0E36"/>
    <w:rsid w:val="005C6937"/>
    <w:rsid w:val="005C7F02"/>
    <w:rsid w:val="005E573A"/>
    <w:rsid w:val="005F0A86"/>
    <w:rsid w:val="005F144A"/>
    <w:rsid w:val="005F1C00"/>
    <w:rsid w:val="0061621E"/>
    <w:rsid w:val="00630AA8"/>
    <w:rsid w:val="00630B2E"/>
    <w:rsid w:val="00632EDB"/>
    <w:rsid w:val="00643D2A"/>
    <w:rsid w:val="006476F4"/>
    <w:rsid w:val="00664E11"/>
    <w:rsid w:val="00673B30"/>
    <w:rsid w:val="0067722B"/>
    <w:rsid w:val="00696E5D"/>
    <w:rsid w:val="006A0114"/>
    <w:rsid w:val="006B5B86"/>
    <w:rsid w:val="006C5908"/>
    <w:rsid w:val="006C633E"/>
    <w:rsid w:val="006D56AB"/>
    <w:rsid w:val="006D734F"/>
    <w:rsid w:val="006E043F"/>
    <w:rsid w:val="006E10A7"/>
    <w:rsid w:val="006E4695"/>
    <w:rsid w:val="006E4B8B"/>
    <w:rsid w:val="006E5901"/>
    <w:rsid w:val="006F71B6"/>
    <w:rsid w:val="0071091C"/>
    <w:rsid w:val="00714961"/>
    <w:rsid w:val="007166B6"/>
    <w:rsid w:val="00744BD5"/>
    <w:rsid w:val="00745748"/>
    <w:rsid w:val="00750E36"/>
    <w:rsid w:val="00753CB0"/>
    <w:rsid w:val="00755460"/>
    <w:rsid w:val="00761FB7"/>
    <w:rsid w:val="00762107"/>
    <w:rsid w:val="00764CB9"/>
    <w:rsid w:val="00765B05"/>
    <w:rsid w:val="0077269F"/>
    <w:rsid w:val="00780424"/>
    <w:rsid w:val="00785F45"/>
    <w:rsid w:val="007965CC"/>
    <w:rsid w:val="007A2780"/>
    <w:rsid w:val="007A68EA"/>
    <w:rsid w:val="007B06FC"/>
    <w:rsid w:val="007B0FEF"/>
    <w:rsid w:val="007B2DB5"/>
    <w:rsid w:val="007C65D4"/>
    <w:rsid w:val="007D2C11"/>
    <w:rsid w:val="007D6171"/>
    <w:rsid w:val="007D69EA"/>
    <w:rsid w:val="007E2C7B"/>
    <w:rsid w:val="007E411B"/>
    <w:rsid w:val="007E5E5D"/>
    <w:rsid w:val="007F0863"/>
    <w:rsid w:val="007F2F3B"/>
    <w:rsid w:val="00802307"/>
    <w:rsid w:val="0080281B"/>
    <w:rsid w:val="0082168E"/>
    <w:rsid w:val="00821968"/>
    <w:rsid w:val="00826641"/>
    <w:rsid w:val="008471B6"/>
    <w:rsid w:val="00851521"/>
    <w:rsid w:val="0085686A"/>
    <w:rsid w:val="00860878"/>
    <w:rsid w:val="00862BB5"/>
    <w:rsid w:val="00870125"/>
    <w:rsid w:val="00870627"/>
    <w:rsid w:val="008709A6"/>
    <w:rsid w:val="008731FF"/>
    <w:rsid w:val="0088294A"/>
    <w:rsid w:val="0089282A"/>
    <w:rsid w:val="008A4538"/>
    <w:rsid w:val="008A704B"/>
    <w:rsid w:val="008B08D2"/>
    <w:rsid w:val="008B4EE5"/>
    <w:rsid w:val="008B5807"/>
    <w:rsid w:val="008B7316"/>
    <w:rsid w:val="008C3178"/>
    <w:rsid w:val="008D5CA5"/>
    <w:rsid w:val="008D5FA0"/>
    <w:rsid w:val="008E2D38"/>
    <w:rsid w:val="008F5724"/>
    <w:rsid w:val="008F5900"/>
    <w:rsid w:val="008F69CD"/>
    <w:rsid w:val="00902633"/>
    <w:rsid w:val="009027D8"/>
    <w:rsid w:val="0090372F"/>
    <w:rsid w:val="00911E27"/>
    <w:rsid w:val="00911E9A"/>
    <w:rsid w:val="0092129A"/>
    <w:rsid w:val="00925BB2"/>
    <w:rsid w:val="00930C8C"/>
    <w:rsid w:val="009360EA"/>
    <w:rsid w:val="0093640B"/>
    <w:rsid w:val="00947C57"/>
    <w:rsid w:val="00951149"/>
    <w:rsid w:val="009526CE"/>
    <w:rsid w:val="00960EDB"/>
    <w:rsid w:val="009622DB"/>
    <w:rsid w:val="009664BC"/>
    <w:rsid w:val="009717A5"/>
    <w:rsid w:val="00980F02"/>
    <w:rsid w:val="00986F87"/>
    <w:rsid w:val="00991B77"/>
    <w:rsid w:val="00997523"/>
    <w:rsid w:val="009A0C5D"/>
    <w:rsid w:val="009B21AF"/>
    <w:rsid w:val="009C4672"/>
    <w:rsid w:val="009C491B"/>
    <w:rsid w:val="009D0911"/>
    <w:rsid w:val="009D24F8"/>
    <w:rsid w:val="009D688C"/>
    <w:rsid w:val="009F7A36"/>
    <w:rsid w:val="00A07DCA"/>
    <w:rsid w:val="00A249C2"/>
    <w:rsid w:val="00A24FAB"/>
    <w:rsid w:val="00A301E7"/>
    <w:rsid w:val="00A42E69"/>
    <w:rsid w:val="00A45CA7"/>
    <w:rsid w:val="00A51415"/>
    <w:rsid w:val="00A53733"/>
    <w:rsid w:val="00A570D6"/>
    <w:rsid w:val="00A6014E"/>
    <w:rsid w:val="00A60356"/>
    <w:rsid w:val="00A741C5"/>
    <w:rsid w:val="00A81DF1"/>
    <w:rsid w:val="00A82111"/>
    <w:rsid w:val="00A90EF3"/>
    <w:rsid w:val="00AA2285"/>
    <w:rsid w:val="00AA7717"/>
    <w:rsid w:val="00AB131E"/>
    <w:rsid w:val="00AB644F"/>
    <w:rsid w:val="00AC3F5E"/>
    <w:rsid w:val="00AC7BC3"/>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262A"/>
    <w:rsid w:val="00BF4EF0"/>
    <w:rsid w:val="00C02E44"/>
    <w:rsid w:val="00C030C6"/>
    <w:rsid w:val="00C0337D"/>
    <w:rsid w:val="00C147D2"/>
    <w:rsid w:val="00C2075F"/>
    <w:rsid w:val="00C23799"/>
    <w:rsid w:val="00C274C9"/>
    <w:rsid w:val="00C31E02"/>
    <w:rsid w:val="00C54291"/>
    <w:rsid w:val="00C672C3"/>
    <w:rsid w:val="00C712B2"/>
    <w:rsid w:val="00C94325"/>
    <w:rsid w:val="00C97FED"/>
    <w:rsid w:val="00CA1DBB"/>
    <w:rsid w:val="00CA1DF9"/>
    <w:rsid w:val="00CA2622"/>
    <w:rsid w:val="00CA5CBC"/>
    <w:rsid w:val="00CA7F2C"/>
    <w:rsid w:val="00CA7FF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347FB"/>
    <w:rsid w:val="00D41F5E"/>
    <w:rsid w:val="00D43DC0"/>
    <w:rsid w:val="00D54E56"/>
    <w:rsid w:val="00D6407D"/>
    <w:rsid w:val="00D93E78"/>
    <w:rsid w:val="00DC6E91"/>
    <w:rsid w:val="00DC7514"/>
    <w:rsid w:val="00DD3845"/>
    <w:rsid w:val="00DE6E45"/>
    <w:rsid w:val="00DE6E79"/>
    <w:rsid w:val="00DF2721"/>
    <w:rsid w:val="00E05189"/>
    <w:rsid w:val="00E1687A"/>
    <w:rsid w:val="00E20A2E"/>
    <w:rsid w:val="00E277DE"/>
    <w:rsid w:val="00E27EE9"/>
    <w:rsid w:val="00E3239D"/>
    <w:rsid w:val="00E3254B"/>
    <w:rsid w:val="00E3439B"/>
    <w:rsid w:val="00E42C5F"/>
    <w:rsid w:val="00E52BE4"/>
    <w:rsid w:val="00E65A1B"/>
    <w:rsid w:val="00E72F1F"/>
    <w:rsid w:val="00E841A2"/>
    <w:rsid w:val="00E934AB"/>
    <w:rsid w:val="00EA06AC"/>
    <w:rsid w:val="00EA08BF"/>
    <w:rsid w:val="00EA24FB"/>
    <w:rsid w:val="00EB20E3"/>
    <w:rsid w:val="00EB3204"/>
    <w:rsid w:val="00EB47A2"/>
    <w:rsid w:val="00EB50BA"/>
    <w:rsid w:val="00EC0EF4"/>
    <w:rsid w:val="00EC3D33"/>
    <w:rsid w:val="00ED302A"/>
    <w:rsid w:val="00ED3A42"/>
    <w:rsid w:val="00EE02BC"/>
    <w:rsid w:val="00EE6970"/>
    <w:rsid w:val="00EE7345"/>
    <w:rsid w:val="00EF38D0"/>
    <w:rsid w:val="00EF3DDF"/>
    <w:rsid w:val="00EF4A8C"/>
    <w:rsid w:val="00F2678C"/>
    <w:rsid w:val="00F27B38"/>
    <w:rsid w:val="00F370AD"/>
    <w:rsid w:val="00F40278"/>
    <w:rsid w:val="00F41832"/>
    <w:rsid w:val="00F56988"/>
    <w:rsid w:val="00F620FB"/>
    <w:rsid w:val="00F6571F"/>
    <w:rsid w:val="00F815BC"/>
    <w:rsid w:val="00F8687E"/>
    <w:rsid w:val="00F93331"/>
    <w:rsid w:val="00F94D5A"/>
    <w:rsid w:val="00F95549"/>
    <w:rsid w:val="00FA1E24"/>
    <w:rsid w:val="00FA24FB"/>
    <w:rsid w:val="00FA632B"/>
    <w:rsid w:val="00FB171F"/>
    <w:rsid w:val="00FB18B2"/>
    <w:rsid w:val="00FB38EA"/>
    <w:rsid w:val="00FB5E0F"/>
    <w:rsid w:val="00FB6AFF"/>
    <w:rsid w:val="00FC4D8F"/>
    <w:rsid w:val="00FD06D3"/>
    <w:rsid w:val="00FE3157"/>
    <w:rsid w:val="00FE6865"/>
    <w:rsid w:val="00FE6993"/>
    <w:rsid w:val="02CF48BB"/>
    <w:rsid w:val="05B94DE4"/>
    <w:rsid w:val="0761245C"/>
    <w:rsid w:val="09686427"/>
    <w:rsid w:val="0B2B1BAB"/>
    <w:rsid w:val="0B831EEA"/>
    <w:rsid w:val="0ED128AF"/>
    <w:rsid w:val="1CAE566F"/>
    <w:rsid w:val="20A00CB0"/>
    <w:rsid w:val="22380181"/>
    <w:rsid w:val="22E408AB"/>
    <w:rsid w:val="27B80AC8"/>
    <w:rsid w:val="2942487C"/>
    <w:rsid w:val="2A1E3DF6"/>
    <w:rsid w:val="2F622D6A"/>
    <w:rsid w:val="57786E2E"/>
    <w:rsid w:val="594E2DED"/>
    <w:rsid w:val="6114284F"/>
    <w:rsid w:val="6991298E"/>
    <w:rsid w:val="6B0543B5"/>
    <w:rsid w:val="6DE02217"/>
    <w:rsid w:val="6EC84024"/>
    <w:rsid w:val="757979BC"/>
    <w:rsid w:val="768C0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Straight Connector 387"/>
        <o:r id="V:Rule2" type="connector" idref="#Straight Connector 383"/>
        <o:r id="V:Rule3" type="connector" idref="#Straight Connector 392"/>
        <o:r id="V:Rule4" type="connector" idref="#Straight Connector 391"/>
        <o:r id="V:Rule5" type="connector" idref="#Straight Connector 385"/>
        <o:r id="V:Rule6" type="connector" idref="#Straight Connector 389"/>
        <o:r id="V:Rule7" type="connector" idref="#Straight Connector 390"/>
        <o:r id="V:Rule8" type="connector" idref="#Straight Connector 388"/>
        <o:r id="V:Rule9" type="connector" idref="#Straight Connector 384"/>
        <o:r id="V:Rule10" type="connector" idref="#Straight Connector 38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5"/>
    <w:qFormat/>
    <w:uiPriority w:val="9"/>
    <w:pPr>
      <w:ind w:right="300"/>
      <w:outlineLvl w:val="2"/>
    </w:pPr>
    <w:rPr>
      <w:rFonts w:ascii="仿宋_GB2312" w:eastAsia="仿宋_GB2312" w:cs="Times New Roman"/>
      <w:sz w:val="30"/>
      <w:szCs w:val="3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qFormat/>
    <w:uiPriority w:val="99"/>
    <w:pPr>
      <w:jc w:val="left"/>
    </w:pPr>
    <w:rPr>
      <w:rFonts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qFormat/>
    <w:uiPriority w:val="0"/>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Hyperlink"/>
    <w:basedOn w:val="16"/>
    <w:unhideWhenUsed/>
    <w:qFormat/>
    <w:uiPriority w:val="99"/>
    <w:rPr>
      <w:rFonts w:hint="default" w:ascii="ˎ̥" w:hAnsi="ˎ̥"/>
      <w:color w:val="0453CC"/>
      <w:sz w:val="20"/>
      <w:szCs w:val="20"/>
      <w:u w:val="none"/>
    </w:rPr>
  </w:style>
  <w:style w:type="character" w:styleId="18">
    <w:name w:val="annotation reference"/>
    <w:basedOn w:val="16"/>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paragraph" w:customStyle="1" w:styleId="20">
    <w:name w:val="列出段落1"/>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修订1"/>
    <w:hidden/>
    <w:semiHidden/>
    <w:qFormat/>
    <w:uiPriority w:val="99"/>
    <w:rPr>
      <w:rFonts w:ascii="Calibri" w:hAnsi="Calibri" w:eastAsia="宋体" w:cs="黑体"/>
      <w:kern w:val="2"/>
      <w:sz w:val="21"/>
      <w:szCs w:val="22"/>
      <w:lang w:val="en-US" w:eastAsia="zh-CN" w:bidi="ar-SA"/>
    </w:rPr>
  </w:style>
  <w:style w:type="paragraph" w:customStyle="1" w:styleId="24">
    <w:name w:val="列出段落11"/>
    <w:basedOn w:val="1"/>
    <w:qFormat/>
    <w:uiPriority w:val="34"/>
    <w:pPr>
      <w:ind w:firstLine="420" w:firstLineChars="200"/>
    </w:pPr>
    <w:rPr>
      <w:rFonts w:cs="Times New Roman"/>
    </w:rPr>
  </w:style>
  <w:style w:type="paragraph" w:customStyle="1" w:styleId="25">
    <w:name w:val="列出段落4"/>
    <w:basedOn w:val="1"/>
    <w:qFormat/>
    <w:uiPriority w:val="0"/>
    <w:pPr>
      <w:ind w:firstLine="200" w:firstLineChars="200"/>
    </w:pPr>
    <w:rPr>
      <w:rFonts w:cs="Times New Roman"/>
    </w:rPr>
  </w:style>
  <w:style w:type="paragraph" w:customStyle="1" w:styleId="26">
    <w:name w:val="列出段落3"/>
    <w:basedOn w:val="1"/>
    <w:qFormat/>
    <w:uiPriority w:val="0"/>
    <w:pPr>
      <w:ind w:firstLine="420" w:firstLineChars="200"/>
    </w:pPr>
    <w:rPr>
      <w:rFonts w:ascii="Times New Roman" w:hAnsi="Times New Roman" w:cs="Times New Roman"/>
      <w:szCs w:val="24"/>
    </w:rPr>
  </w:style>
  <w:style w:type="paragraph" w:customStyle="1" w:styleId="27">
    <w:name w:val="p0"/>
    <w:basedOn w:val="1"/>
    <w:qFormat/>
    <w:uiPriority w:val="0"/>
    <w:pPr>
      <w:widowControl/>
    </w:pPr>
    <w:rPr>
      <w:rFonts w:cs="宋体"/>
      <w:kern w:val="0"/>
      <w:szCs w:val="21"/>
    </w:rPr>
  </w:style>
  <w:style w:type="character" w:customStyle="1" w:styleId="28">
    <w:name w:val="页眉 Char"/>
    <w:basedOn w:val="16"/>
    <w:link w:val="10"/>
    <w:qFormat/>
    <w:uiPriority w:val="99"/>
    <w:rPr>
      <w:sz w:val="18"/>
      <w:szCs w:val="18"/>
    </w:rPr>
  </w:style>
  <w:style w:type="character" w:customStyle="1" w:styleId="29">
    <w:name w:val="页脚 Char"/>
    <w:basedOn w:val="16"/>
    <w:link w:val="9"/>
    <w:qFormat/>
    <w:uiPriority w:val="99"/>
    <w:rPr>
      <w:sz w:val="18"/>
      <w:szCs w:val="18"/>
    </w:rPr>
  </w:style>
  <w:style w:type="character" w:customStyle="1" w:styleId="30">
    <w:name w:val="批注框文本 Char"/>
    <w:basedOn w:val="16"/>
    <w:link w:val="8"/>
    <w:semiHidden/>
    <w:qFormat/>
    <w:uiPriority w:val="0"/>
    <w:rPr>
      <w:sz w:val="18"/>
      <w:szCs w:val="18"/>
    </w:rPr>
  </w:style>
  <w:style w:type="character" w:customStyle="1" w:styleId="31">
    <w:name w:val="HTML 预设格式 Char"/>
    <w:basedOn w:val="16"/>
    <w:link w:val="12"/>
    <w:qFormat/>
    <w:uiPriority w:val="99"/>
    <w:rPr>
      <w:rFonts w:ascii="宋体" w:hAnsi="宋体" w:eastAsia="宋体" w:cs="宋体"/>
      <w:kern w:val="0"/>
      <w:sz w:val="24"/>
      <w:szCs w:val="24"/>
    </w:rPr>
  </w:style>
  <w:style w:type="character" w:customStyle="1" w:styleId="32">
    <w:name w:val="批注文字 Char"/>
    <w:basedOn w:val="16"/>
    <w:link w:val="6"/>
    <w:semiHidden/>
    <w:qFormat/>
    <w:uiPriority w:val="0"/>
    <w:rPr>
      <w:rFonts w:ascii="Calibri" w:hAnsi="Calibri" w:eastAsia="宋体" w:cs="Times New Roman"/>
    </w:rPr>
  </w:style>
  <w:style w:type="character" w:customStyle="1" w:styleId="33">
    <w:name w:val="标题 1 Char"/>
    <w:basedOn w:val="16"/>
    <w:link w:val="2"/>
    <w:qFormat/>
    <w:uiPriority w:val="9"/>
    <w:rPr>
      <w:rFonts w:ascii="黑体" w:hAnsi="黑体" w:eastAsia="黑体" w:cs="宋体"/>
      <w:color w:val="000000"/>
      <w:kern w:val="0"/>
      <w:sz w:val="30"/>
      <w:szCs w:val="30"/>
    </w:rPr>
  </w:style>
  <w:style w:type="character" w:customStyle="1" w:styleId="34">
    <w:name w:val="标题 2 Char"/>
    <w:basedOn w:val="16"/>
    <w:link w:val="3"/>
    <w:qFormat/>
    <w:uiPriority w:val="0"/>
    <w:rPr>
      <w:rFonts w:ascii="Cambria" w:hAnsi="Cambria" w:eastAsia="宋体" w:cs="Times New Roman"/>
      <w:b/>
      <w:bCs/>
      <w:sz w:val="32"/>
      <w:szCs w:val="32"/>
    </w:rPr>
  </w:style>
  <w:style w:type="character" w:customStyle="1" w:styleId="35">
    <w:name w:val="标题 3 Char"/>
    <w:basedOn w:val="16"/>
    <w:link w:val="4"/>
    <w:qFormat/>
    <w:uiPriority w:val="9"/>
    <w:rPr>
      <w:rFonts w:ascii="仿宋_GB2312" w:hAnsi="Calibri" w:eastAsia="仿宋_GB2312" w:cs="Times New Roman"/>
      <w:sz w:val="30"/>
      <w:szCs w:val="30"/>
    </w:rPr>
  </w:style>
  <w:style w:type="character" w:customStyle="1" w:styleId="36">
    <w:name w:val="脚注文本 Char"/>
    <w:basedOn w:val="16"/>
    <w:semiHidden/>
    <w:qFormat/>
    <w:uiPriority w:val="99"/>
    <w:rPr>
      <w:kern w:val="2"/>
      <w:sz w:val="18"/>
      <w:szCs w:val="18"/>
    </w:rPr>
  </w:style>
  <w:style w:type="character" w:customStyle="1" w:styleId="37">
    <w:name w:val="脚注文本 Char1"/>
    <w:basedOn w:val="16"/>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6"/>
    <w:link w:val="5"/>
    <w:qFormat/>
    <w:uiPriority w:val="0"/>
    <w:rPr>
      <w:rFonts w:ascii="宋体"/>
      <w:sz w:val="18"/>
      <w:szCs w:val="18"/>
    </w:rPr>
  </w:style>
  <w:style w:type="character" w:customStyle="1" w:styleId="40">
    <w:name w:val="批注文字 Char1"/>
    <w:basedOn w:val="16"/>
    <w:semiHidden/>
    <w:qFormat/>
    <w:uiPriority w:val="99"/>
    <w:rPr>
      <w:kern w:val="2"/>
      <w:sz w:val="21"/>
      <w:szCs w:val="22"/>
    </w:rPr>
  </w:style>
  <w:style w:type="character" w:customStyle="1" w:styleId="41">
    <w:name w:val="明显强调1"/>
    <w:basedOn w:val="16"/>
    <w:qFormat/>
    <w:uiPriority w:val="21"/>
    <w:rPr>
      <w:b/>
      <w:bCs/>
      <w:i/>
      <w:iCs/>
      <w:color w:val="4F81BD"/>
    </w:rPr>
  </w:style>
  <w:style w:type="character" w:customStyle="1" w:styleId="42">
    <w:name w:val="文档结构图 Char1"/>
    <w:basedOn w:val="16"/>
    <w:semiHidden/>
    <w:qFormat/>
    <w:uiPriority w:val="99"/>
    <w:rPr>
      <w:rFonts w:ascii="宋体" w:eastAsia="宋体"/>
      <w:sz w:val="18"/>
      <w:szCs w:val="18"/>
    </w:rPr>
  </w:style>
  <w:style w:type="character" w:customStyle="1" w:styleId="43">
    <w:name w:val="脚注文本 Char2"/>
    <w:basedOn w:val="16"/>
    <w:semiHidden/>
    <w:qFormat/>
    <w:uiPriority w:val="99"/>
    <w:rPr>
      <w:sz w:val="18"/>
      <w:szCs w:val="18"/>
    </w:rPr>
  </w:style>
  <w:style w:type="character" w:customStyle="1" w:styleId="44">
    <w:name w:val="正文文本 Char"/>
    <w:basedOn w:val="16"/>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527</Words>
  <Characters>3009</Characters>
  <Lines>25</Lines>
  <Paragraphs>7</Paragraphs>
  <TotalTime>0</TotalTime>
  <ScaleCrop>false</ScaleCrop>
  <LinksUpToDate>false</LinksUpToDate>
  <CharactersWithSpaces>3529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彭欣然</cp:lastModifiedBy>
  <cp:lastPrinted>2017-11-24T00:22:00Z</cp:lastPrinted>
  <dcterms:modified xsi:type="dcterms:W3CDTF">2023-03-02T10:32:41Z</dcterms:modified>
  <dc:title>编号：57013               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