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right="300"/>
        <w:jc w:val="left"/>
        <w:rPr>
          <w:rFonts w:ascii="Times New Roman" w:hAnsi="Times New Roman" w:eastAsia="黑体" w:cs="Times New Roman"/>
          <w:sz w:val="48"/>
          <w:szCs w:val="48"/>
        </w:rPr>
      </w:pPr>
      <w:r>
        <w:rPr>
          <w:rFonts w:ascii="Times New Roman" w:hAnsi="Times New Roman" w:eastAsia="黑体" w:cs="Times New Roman"/>
          <w:sz w:val="48"/>
          <w:szCs w:val="48"/>
        </w:rPr>
        <w:t>编号：</w:t>
      </w:r>
      <w:r>
        <w:rPr>
          <w:rFonts w:hint="eastAsia" w:ascii="Times New Roman" w:hAnsi="Times New Roman" w:eastAsia="黑体" w:cs="Times New Roman"/>
          <w:sz w:val="48"/>
          <w:szCs w:val="48"/>
        </w:rPr>
        <w:t xml:space="preserve">000171112005         </w:t>
      </w:r>
      <w:r>
        <w:rPr>
          <w:rFonts w:ascii="Times New Roman" w:hAnsi="Times New Roman" w:eastAsia="黑体" w:cs="Times New Roman"/>
          <w:sz w:val="48"/>
          <w:szCs w:val="48"/>
        </w:rPr>
        <w:pict>
          <v:shape id="_x0000_i1025" o:spt="75" type="#_x0000_t75" style="height:69.75pt;width:87pt;" filled="f" o:preferrelative="t" stroked="f" coordsize="21600,21600">
            <v:path/>
            <v:fill on="f" focussize="0,0"/>
            <v:stroke on="f" joinstyle="miter"/>
            <v:imagedata r:id="rId7" o:title=""/>
            <o:lock v:ext="edit" aspectratio="t"/>
            <w10:wrap type="none"/>
            <w10:anchorlock/>
          </v:shape>
        </w:pict>
      </w: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52"/>
          <w:szCs w:val="52"/>
        </w:rPr>
      </w:pPr>
    </w:p>
    <w:p>
      <w:pPr>
        <w:ind w:right="300"/>
        <w:jc w:val="center"/>
        <w:rPr>
          <w:rFonts w:ascii="Times New Roman" w:hAnsi="Times New Roman" w:eastAsia="黑体" w:cs="Times New Roman"/>
          <w:sz w:val="52"/>
          <w:szCs w:val="52"/>
        </w:rPr>
      </w:pPr>
      <w:r>
        <w:rPr>
          <w:rFonts w:ascii="Times New Roman" w:hAnsi="Times New Roman" w:eastAsia="黑体" w:cs="Times New Roman"/>
          <w:sz w:val="52"/>
          <w:szCs w:val="52"/>
        </w:rPr>
        <w:t>“</w:t>
      </w:r>
      <w:r>
        <w:rPr>
          <w:rFonts w:hint="eastAsia" w:ascii="Times New Roman" w:hAnsi="Times New Roman" w:eastAsia="黑体" w:cs="Times New Roman"/>
          <w:sz w:val="52"/>
          <w:szCs w:val="52"/>
        </w:rPr>
        <w:t>政策性银行、全国性商业银行以外其他银行总行（含外国银行分行）人民币与外汇衍生产品业务市场准入审批</w:t>
      </w:r>
      <w:r>
        <w:rPr>
          <w:rFonts w:ascii="Times New Roman" w:hAnsi="Times New Roman" w:eastAsia="黑体" w:cs="Times New Roman"/>
          <w:sz w:val="52"/>
          <w:szCs w:val="52"/>
        </w:rPr>
        <w:t>”行政审批服务指南</w:t>
      </w:r>
    </w:p>
    <w:p>
      <w:pPr>
        <w:ind w:right="300"/>
        <w:jc w:val="both"/>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r>
        <w:rPr>
          <w:rFonts w:ascii="Times New Roman" w:hAnsi="Times New Roman" w:eastAsia="仿宋_GB2312" w:cs="Times New Roman"/>
          <w:sz w:val="30"/>
          <w:szCs w:val="30"/>
        </w:rPr>
        <w:t>发布日期：20</w:t>
      </w:r>
      <w:r>
        <w:rPr>
          <w:rFonts w:hint="eastAsia" w:ascii="Times New Roman" w:hAnsi="Times New Roman" w:eastAsia="仿宋_GB2312" w:cs="Times New Roman"/>
          <w:sz w:val="30"/>
          <w:szCs w:val="30"/>
        </w:rPr>
        <w:t>2</w:t>
      </w:r>
      <w:r>
        <w:rPr>
          <w:rFonts w:hint="eastAsia" w:ascii="Times New Roman" w:hAnsi="Times New Roman" w:eastAsia="仿宋_GB2312" w:cs="Times New Roman"/>
          <w:sz w:val="30"/>
          <w:szCs w:val="30"/>
          <w:lang w:val="en-US" w:eastAsia="zh-CN"/>
        </w:rPr>
        <w:t>3</w:t>
      </w:r>
      <w:r>
        <w:rPr>
          <w:rFonts w:ascii="Times New Roman" w:hAnsi="Times New Roman" w:eastAsia="仿宋_GB2312" w:cs="Times New Roman"/>
          <w:sz w:val="30"/>
          <w:szCs w:val="30"/>
        </w:rPr>
        <w:t>年</w:t>
      </w:r>
      <w:r>
        <w:rPr>
          <w:rFonts w:hint="eastAsia" w:ascii="Times New Roman" w:hAnsi="Times New Roman" w:eastAsia="仿宋_GB2312" w:cs="Times New Roman"/>
          <w:sz w:val="30"/>
          <w:szCs w:val="30"/>
        </w:rPr>
        <w:t>1</w:t>
      </w:r>
      <w:r>
        <w:rPr>
          <w:rFonts w:ascii="Times New Roman" w:hAnsi="Times New Roman" w:eastAsia="仿宋_GB2312" w:cs="Times New Roman"/>
          <w:sz w:val="30"/>
          <w:szCs w:val="30"/>
        </w:rPr>
        <w:t>月</w:t>
      </w:r>
      <w:r>
        <w:rPr>
          <w:rFonts w:hint="eastAsia" w:ascii="Times New Roman" w:hAnsi="Times New Roman" w:eastAsia="仿宋_GB2312" w:cs="Times New Roman"/>
          <w:sz w:val="30"/>
          <w:szCs w:val="30"/>
          <w:lang w:val="en-US" w:eastAsia="zh-CN"/>
        </w:rPr>
        <w:t>1</w:t>
      </w:r>
      <w:r>
        <w:rPr>
          <w:rFonts w:ascii="Times New Roman" w:hAnsi="Times New Roman" w:eastAsia="仿宋_GB2312" w:cs="Times New Roman"/>
          <w:sz w:val="30"/>
          <w:szCs w:val="30"/>
        </w:rPr>
        <w:t>日</w:t>
      </w:r>
    </w:p>
    <w:p>
      <w:pPr>
        <w:ind w:right="300"/>
        <w:jc w:val="center"/>
        <w:rPr>
          <w:rFonts w:ascii="Times New Roman" w:hAnsi="Times New Roman" w:eastAsia="仿宋_GB2312" w:cs="Times New Roman"/>
          <w:sz w:val="30"/>
          <w:szCs w:val="30"/>
        </w:rPr>
      </w:pPr>
      <w:r>
        <w:rPr>
          <w:rFonts w:ascii="Times New Roman" w:hAnsi="Times New Roman" w:eastAsia="仿宋_GB2312" w:cs="Times New Roman"/>
          <w:sz w:val="30"/>
          <w:szCs w:val="30"/>
        </w:rPr>
        <w:t>实施日期：20</w:t>
      </w:r>
      <w:r>
        <w:rPr>
          <w:rFonts w:hint="eastAsia" w:ascii="Times New Roman" w:hAnsi="Times New Roman" w:eastAsia="仿宋_GB2312" w:cs="Times New Roman"/>
          <w:sz w:val="30"/>
          <w:szCs w:val="30"/>
        </w:rPr>
        <w:t>2</w:t>
      </w:r>
      <w:r>
        <w:rPr>
          <w:rFonts w:hint="eastAsia" w:ascii="Times New Roman" w:hAnsi="Times New Roman" w:eastAsia="仿宋_GB2312" w:cs="Times New Roman"/>
          <w:sz w:val="30"/>
          <w:szCs w:val="30"/>
          <w:lang w:val="en-US" w:eastAsia="zh-CN"/>
        </w:rPr>
        <w:t>3</w:t>
      </w:r>
      <w:r>
        <w:rPr>
          <w:rFonts w:ascii="Times New Roman" w:hAnsi="Times New Roman" w:eastAsia="仿宋_GB2312" w:cs="Times New Roman"/>
          <w:sz w:val="30"/>
          <w:szCs w:val="30"/>
        </w:rPr>
        <w:t>年</w:t>
      </w:r>
      <w:r>
        <w:rPr>
          <w:rFonts w:hint="eastAsia" w:ascii="Times New Roman" w:hAnsi="Times New Roman" w:eastAsia="仿宋_GB2312" w:cs="Times New Roman"/>
          <w:sz w:val="30"/>
          <w:szCs w:val="30"/>
        </w:rPr>
        <w:t>1</w:t>
      </w:r>
      <w:r>
        <w:rPr>
          <w:rFonts w:ascii="Times New Roman" w:hAnsi="Times New Roman" w:eastAsia="仿宋_GB2312" w:cs="Times New Roman"/>
          <w:sz w:val="30"/>
          <w:szCs w:val="30"/>
        </w:rPr>
        <w:t>月</w:t>
      </w:r>
      <w:r>
        <w:rPr>
          <w:rFonts w:hint="eastAsia" w:ascii="Times New Roman" w:hAnsi="Times New Roman" w:eastAsia="仿宋_GB2312" w:cs="Times New Roman"/>
          <w:sz w:val="30"/>
          <w:szCs w:val="30"/>
          <w:lang w:val="en-US" w:eastAsia="zh-CN"/>
        </w:rPr>
        <w:t>1</w:t>
      </w:r>
      <w:r>
        <w:rPr>
          <w:rFonts w:ascii="Times New Roman" w:hAnsi="Times New Roman" w:eastAsia="仿宋_GB2312" w:cs="Times New Roman"/>
          <w:sz w:val="30"/>
          <w:szCs w:val="30"/>
        </w:rPr>
        <w:t>日</w:t>
      </w:r>
    </w:p>
    <w:p>
      <w:pPr>
        <w:ind w:right="300"/>
        <w:jc w:val="center"/>
        <w:rPr>
          <w:rFonts w:ascii="Times New Roman" w:hAnsi="Times New Roman" w:eastAsia="仿宋_GB2312" w:cs="Times New Roman"/>
          <w:sz w:val="30"/>
          <w:szCs w:val="30"/>
        </w:rPr>
      </w:pPr>
      <w:r>
        <w:rPr>
          <w:rFonts w:ascii="Times New Roman" w:hAnsi="Times New Roman" w:eastAsia="仿宋_GB2312" w:cs="Times New Roman"/>
          <w:sz w:val="30"/>
          <w:szCs w:val="30"/>
        </w:rPr>
        <w:t>发布机构：国家外汇管理局</w:t>
      </w:r>
      <w:r>
        <w:rPr>
          <w:rFonts w:hint="eastAsia" w:ascii="Times New Roman" w:hAnsi="Times New Roman" w:eastAsia="仿宋_GB2312" w:cs="Times New Roman"/>
          <w:sz w:val="30"/>
          <w:szCs w:val="30"/>
        </w:rPr>
        <w:t>江苏省分局</w:t>
      </w: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sectPr>
          <w:footerReference r:id="rId3" w:type="default"/>
          <w:pgSz w:w="11906" w:h="16838"/>
          <w:pgMar w:top="1440" w:right="1800" w:bottom="1440" w:left="1800" w:header="851" w:footer="992" w:gutter="0"/>
          <w:cols w:space="720" w:num="1"/>
          <w:docGrid w:type="lines" w:linePitch="312" w:charSpace="0"/>
        </w:sectPr>
      </w:pPr>
    </w:p>
    <w:p>
      <w:pPr>
        <w:adjustRightInd w:val="0"/>
        <w:snapToGrid w:val="0"/>
        <w:spacing w:line="360" w:lineRule="auto"/>
        <w:jc w:val="left"/>
        <w:rPr>
          <w:rFonts w:ascii="Times New Roman" w:hAnsi="Times New Roman" w:eastAsia="黑体" w:cs="Times New Roman"/>
          <w:sz w:val="30"/>
          <w:szCs w:val="30"/>
        </w:rPr>
      </w:pPr>
      <w:r>
        <w:rPr>
          <w:rFonts w:ascii="Times New Roman" w:hAnsi="Times New Roman" w:eastAsia="黑体" w:cs="Times New Roman"/>
          <w:sz w:val="30"/>
          <w:szCs w:val="30"/>
        </w:rPr>
        <w:t>一、项目信息</w:t>
      </w:r>
    </w:p>
    <w:p>
      <w:pPr>
        <w:adjustRightInd w:val="0"/>
        <w:snapToGrid w:val="0"/>
        <w:spacing w:line="360" w:lineRule="auto"/>
        <w:ind w:firstLine="585"/>
        <w:rPr>
          <w:rFonts w:hint="eastAsia" w:ascii="Times New Roman" w:hAnsi="Times New Roman" w:eastAsia="仿宋_GB2312" w:cs="Times New Roman"/>
          <w:sz w:val="30"/>
          <w:szCs w:val="30"/>
        </w:rPr>
      </w:pPr>
      <w:r>
        <w:rPr>
          <w:rFonts w:hint="eastAsia" w:ascii="Times New Roman" w:hAnsi="Times New Roman" w:eastAsia="仿宋_GB2312" w:cs="Times New Roman"/>
          <w:sz w:val="30"/>
          <w:szCs w:val="30"/>
        </w:rPr>
        <w:t>1.行政许可事项名称及编码</w:t>
      </w:r>
    </w:p>
    <w:p>
      <w:pPr>
        <w:adjustRightInd w:val="0"/>
        <w:snapToGrid w:val="0"/>
        <w:spacing w:line="360" w:lineRule="auto"/>
        <w:ind w:firstLine="585"/>
        <w:rPr>
          <w:rFonts w:hint="eastAsia" w:ascii="Times New Roman" w:hAnsi="Times New Roman" w:eastAsia="仿宋_GB2312" w:cs="Times New Roman"/>
          <w:sz w:val="30"/>
          <w:szCs w:val="30"/>
        </w:rPr>
      </w:pPr>
      <w:r>
        <w:rPr>
          <w:rFonts w:hint="eastAsia" w:ascii="Times New Roman" w:hAnsi="Times New Roman" w:eastAsia="仿宋_GB2312" w:cs="Times New Roman"/>
          <w:sz w:val="30"/>
          <w:szCs w:val="30"/>
        </w:rPr>
        <w:t>经营或者终止结售汇业务审批【00017111200Y】</w:t>
      </w:r>
    </w:p>
    <w:p>
      <w:pPr>
        <w:adjustRightInd w:val="0"/>
        <w:snapToGrid w:val="0"/>
        <w:spacing w:line="360" w:lineRule="auto"/>
        <w:ind w:firstLine="585"/>
        <w:rPr>
          <w:rFonts w:hint="eastAsia" w:ascii="Times New Roman" w:hAnsi="Times New Roman" w:eastAsia="仿宋_GB2312" w:cs="Times New Roman"/>
          <w:sz w:val="30"/>
          <w:szCs w:val="30"/>
        </w:rPr>
      </w:pPr>
      <w:r>
        <w:rPr>
          <w:rFonts w:hint="eastAsia" w:ascii="Times New Roman" w:hAnsi="Times New Roman" w:eastAsia="仿宋_GB2312" w:cs="Times New Roman"/>
          <w:sz w:val="30"/>
          <w:szCs w:val="30"/>
        </w:rPr>
        <w:t>2.行政许可事项子项名称及编码</w:t>
      </w:r>
    </w:p>
    <w:p>
      <w:pPr>
        <w:adjustRightInd w:val="0"/>
        <w:snapToGrid w:val="0"/>
        <w:spacing w:line="360" w:lineRule="auto"/>
        <w:ind w:firstLine="585"/>
        <w:rPr>
          <w:rFonts w:hint="eastAsia" w:ascii="Times New Roman" w:hAnsi="Times New Roman" w:eastAsia="仿宋_GB2312" w:cs="Times New Roman"/>
          <w:sz w:val="30"/>
          <w:szCs w:val="30"/>
        </w:rPr>
      </w:pPr>
      <w:r>
        <w:rPr>
          <w:rFonts w:hint="eastAsia" w:ascii="Times New Roman" w:hAnsi="Times New Roman" w:eastAsia="仿宋_GB2312" w:cs="Times New Roman"/>
          <w:sz w:val="30"/>
          <w:szCs w:val="30"/>
        </w:rPr>
        <w:t>政策性银行、全国性商业银行以外其他银行总行（含外国银行分行）人民币与外汇衍生产品业务市场准入审批【000171112005】</w:t>
      </w:r>
    </w:p>
    <w:p>
      <w:pPr>
        <w:adjustRightInd w:val="0"/>
        <w:snapToGrid w:val="0"/>
        <w:spacing w:line="360" w:lineRule="auto"/>
        <w:ind w:firstLine="585"/>
        <w:rPr>
          <w:rFonts w:hint="eastAsia" w:ascii="Times New Roman" w:hAnsi="Times New Roman" w:eastAsia="仿宋_GB2312" w:cs="Times New Roman"/>
          <w:sz w:val="30"/>
          <w:szCs w:val="30"/>
        </w:rPr>
      </w:pPr>
      <w:r>
        <w:rPr>
          <w:rFonts w:hint="eastAsia" w:ascii="Times New Roman" w:hAnsi="Times New Roman" w:eastAsia="仿宋_GB2312" w:cs="Times New Roman"/>
          <w:sz w:val="30"/>
          <w:szCs w:val="30"/>
        </w:rPr>
        <w:t>3.行政许可事项业务办理项名称及编码</w:t>
      </w:r>
    </w:p>
    <w:p>
      <w:pPr>
        <w:adjustRightInd w:val="0"/>
        <w:snapToGrid w:val="0"/>
        <w:spacing w:line="360" w:lineRule="auto"/>
        <w:ind w:firstLine="585"/>
        <w:rPr>
          <w:rFonts w:hint="eastAsia" w:ascii="Times New Roman" w:hAnsi="Times New Roman" w:eastAsia="仿宋_GB2312" w:cs="Times New Roman"/>
          <w:sz w:val="30"/>
          <w:szCs w:val="30"/>
        </w:rPr>
      </w:pPr>
      <w:r>
        <w:rPr>
          <w:rFonts w:hint="eastAsia" w:ascii="Times New Roman" w:hAnsi="Times New Roman" w:eastAsia="仿宋_GB2312" w:cs="Times New Roman"/>
          <w:sz w:val="30"/>
          <w:szCs w:val="30"/>
        </w:rPr>
        <w:t>政策性银行、全国性商业银行以外其他银行总行（含外国银行分行）人民币与外汇衍生产品业务市场准入审批（00017111200501）</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二、适用范围</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本指南适用于“</w:t>
      </w:r>
      <w:r>
        <w:rPr>
          <w:rFonts w:hint="eastAsia" w:ascii="Times New Roman" w:hAnsi="Times New Roman" w:eastAsia="仿宋_GB2312" w:cs="Times New Roman"/>
          <w:sz w:val="30"/>
          <w:szCs w:val="30"/>
        </w:rPr>
        <w:t>政策性银行、全国性商业银行以外其他银行总行（含外国银行分行）人民币与外汇衍生产品业务市场准入审批</w:t>
      </w:r>
      <w:r>
        <w:rPr>
          <w:rFonts w:ascii="Times New Roman" w:hAnsi="Times New Roman" w:eastAsia="仿宋_GB2312" w:cs="Times New Roman"/>
          <w:sz w:val="30"/>
          <w:szCs w:val="30"/>
        </w:rPr>
        <w:t>”的申请和办理。</w:t>
      </w:r>
    </w:p>
    <w:p>
      <w:pPr>
        <w:tabs>
          <w:tab w:val="left" w:pos="3718"/>
        </w:tabs>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三、设定依据</w:t>
      </w:r>
      <w:r>
        <w:rPr>
          <w:rFonts w:ascii="Times New Roman" w:hAnsi="Times New Roman" w:eastAsia="黑体" w:cs="Times New Roman"/>
          <w:sz w:val="30"/>
          <w:szCs w:val="30"/>
        </w:rPr>
        <w:tab/>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中华人民共和国外汇管理条例》（国务院令第532号）第二十四条：“金融机构经营或者终止经营结汇、售汇业务，应当经外汇管理机关批准；经营或者终止经营其他外汇业务，应当按照职责分工经外汇管理机关或者金融业监督管理机构批准”；</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四、办理依据</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1.</w:t>
      </w:r>
      <w:r>
        <w:rPr>
          <w:rFonts w:hint="eastAsia" w:ascii="Times New Roman" w:hAnsi="Times New Roman" w:eastAsia="仿宋_GB2312" w:cs="Times New Roman"/>
          <w:sz w:val="30"/>
          <w:szCs w:val="30"/>
        </w:rPr>
        <w:t>《银行办理结售汇业务管理办法》（中国人民银行令2014年2号）第二条、第三条</w:t>
      </w:r>
      <w:r>
        <w:rPr>
          <w:rFonts w:ascii="Times New Roman" w:hAnsi="Times New Roman" w:eastAsia="仿宋_GB2312" w:cs="Times New Roman"/>
          <w:sz w:val="30"/>
          <w:szCs w:val="30"/>
        </w:rPr>
        <w:t>；</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2.</w:t>
      </w:r>
      <w:r>
        <w:rPr>
          <w:rFonts w:hint="eastAsia" w:ascii="Times New Roman" w:hAnsi="Times New Roman" w:eastAsia="仿宋_GB2312" w:cs="Times New Roman"/>
          <w:sz w:val="30"/>
          <w:szCs w:val="30"/>
        </w:rPr>
        <w:t>《银行办理结售汇业务管理办法实施细则》（汇发〔2014〕53号文印发）第七条、第十条</w:t>
      </w:r>
      <w:r>
        <w:rPr>
          <w:rFonts w:ascii="Times New Roman" w:hAnsi="Times New Roman" w:eastAsia="仿宋_GB2312" w:cs="Times New Roman"/>
          <w:sz w:val="30"/>
          <w:szCs w:val="30"/>
        </w:rPr>
        <w:t>；</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3.</w:t>
      </w:r>
      <w:r>
        <w:rPr>
          <w:rFonts w:hint="eastAsia" w:ascii="Times New Roman" w:hAnsi="Times New Roman" w:eastAsia="仿宋_GB2312" w:cs="Times New Roman"/>
          <w:sz w:val="30"/>
          <w:szCs w:val="30"/>
        </w:rPr>
        <w:t>《国家外汇管理局行政许可实施办法》（国家外汇管理局公告2021年第1号）全文</w:t>
      </w:r>
      <w:r>
        <w:rPr>
          <w:rFonts w:ascii="Times New Roman" w:hAnsi="Times New Roman" w:eastAsia="仿宋_GB2312" w:cs="Times New Roman"/>
          <w:sz w:val="30"/>
          <w:szCs w:val="30"/>
        </w:rPr>
        <w:t>。</w:t>
      </w:r>
    </w:p>
    <w:p>
      <w:pPr>
        <w:adjustRightInd w:val="0"/>
        <w:snapToGrid w:val="0"/>
        <w:spacing w:line="360" w:lineRule="auto"/>
        <w:ind w:firstLine="600" w:firstLineChars="200"/>
        <w:rPr>
          <w:rFonts w:ascii="Times New Roman" w:hAnsi="Times New Roman" w:eastAsia="黑体" w:cs="Times New Roman"/>
          <w:sz w:val="30"/>
          <w:szCs w:val="30"/>
        </w:rPr>
      </w:pPr>
      <w:r>
        <w:rPr>
          <w:rFonts w:hint="eastAsia" w:ascii="Times New Roman" w:hAnsi="Times New Roman" w:eastAsia="黑体" w:cs="Times New Roman"/>
          <w:sz w:val="30"/>
          <w:szCs w:val="30"/>
          <w:lang w:eastAsia="zh-CN"/>
        </w:rPr>
        <w:t>五、</w:t>
      </w:r>
      <w:r>
        <w:rPr>
          <w:rFonts w:ascii="Times New Roman" w:hAnsi="Times New Roman" w:eastAsia="黑体" w:cs="Times New Roman"/>
          <w:sz w:val="30"/>
          <w:szCs w:val="30"/>
        </w:rPr>
        <w:t>受理机构</w:t>
      </w:r>
    </w:p>
    <w:p>
      <w:pPr>
        <w:adjustRightInd w:val="0"/>
        <w:snapToGrid w:val="0"/>
        <w:spacing w:line="360" w:lineRule="auto"/>
        <w:ind w:firstLine="600" w:firstLineChars="200"/>
        <w:rPr>
          <w:rFonts w:ascii="Times New Roman" w:hAnsi="Times New Roman" w:eastAsia="仿宋_GB2312" w:cs="Times New Roman"/>
          <w:sz w:val="30"/>
          <w:szCs w:val="30"/>
        </w:rPr>
      </w:pPr>
      <w:r>
        <w:rPr>
          <w:rFonts w:hint="eastAsia" w:ascii="Times New Roman" w:hAnsi="Times New Roman" w:eastAsia="仿宋_GB2312" w:cs="Times New Roman"/>
          <w:sz w:val="30"/>
          <w:szCs w:val="30"/>
          <w:lang w:eastAsia="zh-CN"/>
        </w:rPr>
        <w:t>申请人</w:t>
      </w:r>
      <w:r>
        <w:rPr>
          <w:rFonts w:ascii="Times New Roman" w:hAnsi="Times New Roman" w:eastAsia="仿宋_GB2312" w:cs="Times New Roman"/>
          <w:sz w:val="30"/>
          <w:szCs w:val="30"/>
        </w:rPr>
        <w:t>所在地国家外汇管理局分局（外汇管理部）。</w:t>
      </w:r>
    </w:p>
    <w:p>
      <w:pPr>
        <w:adjustRightInd w:val="0"/>
        <w:snapToGrid w:val="0"/>
        <w:spacing w:line="360" w:lineRule="auto"/>
        <w:ind w:firstLine="600" w:firstLineChars="200"/>
        <w:rPr>
          <w:rFonts w:ascii="Times New Roman" w:hAnsi="Times New Roman" w:eastAsia="黑体" w:cs="Times New Roman"/>
          <w:sz w:val="30"/>
          <w:szCs w:val="30"/>
        </w:rPr>
      </w:pPr>
      <w:r>
        <w:rPr>
          <w:rFonts w:hint="eastAsia" w:ascii="Times New Roman" w:hAnsi="Times New Roman" w:eastAsia="黑体" w:cs="Times New Roman"/>
          <w:sz w:val="30"/>
          <w:szCs w:val="30"/>
          <w:lang w:eastAsia="zh-CN"/>
        </w:rPr>
        <w:t>六、</w:t>
      </w:r>
      <w:r>
        <w:rPr>
          <w:rFonts w:ascii="Times New Roman" w:hAnsi="Times New Roman" w:eastAsia="黑体" w:cs="Times New Roman"/>
          <w:sz w:val="30"/>
          <w:szCs w:val="30"/>
        </w:rPr>
        <w:t>决定机构</w:t>
      </w:r>
    </w:p>
    <w:p>
      <w:pPr>
        <w:adjustRightInd w:val="0"/>
        <w:snapToGrid w:val="0"/>
        <w:spacing w:line="360" w:lineRule="auto"/>
        <w:ind w:firstLine="600" w:firstLineChars="200"/>
        <w:rPr>
          <w:rFonts w:ascii="Times New Roman" w:hAnsi="Times New Roman" w:eastAsia="仿宋_GB2312" w:cs="Times New Roman"/>
          <w:sz w:val="30"/>
          <w:szCs w:val="30"/>
        </w:rPr>
      </w:pPr>
      <w:r>
        <w:rPr>
          <w:rFonts w:hint="eastAsia" w:ascii="Times New Roman" w:hAnsi="Times New Roman" w:eastAsia="仿宋_GB2312" w:cs="Times New Roman"/>
          <w:sz w:val="30"/>
          <w:szCs w:val="30"/>
          <w:lang w:eastAsia="zh-CN"/>
        </w:rPr>
        <w:t>申请人</w:t>
      </w:r>
      <w:bookmarkStart w:id="0" w:name="_GoBack"/>
      <w:bookmarkEnd w:id="0"/>
      <w:r>
        <w:rPr>
          <w:rFonts w:ascii="Times New Roman" w:hAnsi="Times New Roman" w:eastAsia="仿宋_GB2312" w:cs="Times New Roman"/>
          <w:sz w:val="30"/>
          <w:szCs w:val="30"/>
        </w:rPr>
        <w:t>所在地国家外汇管理局分局（外汇管理部）。</w:t>
      </w:r>
    </w:p>
    <w:p>
      <w:pPr>
        <w:adjustRightInd w:val="0"/>
        <w:snapToGrid w:val="0"/>
        <w:spacing w:line="360" w:lineRule="auto"/>
        <w:ind w:firstLine="600" w:firstLineChars="200"/>
        <w:rPr>
          <w:rFonts w:ascii="Times New Roman" w:hAnsi="Times New Roman" w:eastAsia="黑体" w:cs="Times New Roman"/>
          <w:sz w:val="30"/>
          <w:szCs w:val="30"/>
        </w:rPr>
      </w:pPr>
      <w:r>
        <w:rPr>
          <w:rFonts w:hint="eastAsia" w:ascii="Times New Roman" w:hAnsi="Times New Roman" w:eastAsia="黑体" w:cs="Times New Roman"/>
          <w:sz w:val="30"/>
          <w:szCs w:val="30"/>
          <w:lang w:eastAsia="zh-CN"/>
        </w:rPr>
        <w:t>七、</w:t>
      </w:r>
      <w:r>
        <w:rPr>
          <w:rFonts w:ascii="Times New Roman" w:hAnsi="Times New Roman" w:eastAsia="黑体" w:cs="Times New Roman"/>
          <w:sz w:val="30"/>
          <w:szCs w:val="30"/>
        </w:rPr>
        <w:t>审批数量</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无数量限制。</w:t>
      </w:r>
    </w:p>
    <w:p>
      <w:pPr>
        <w:adjustRightInd w:val="0"/>
        <w:snapToGrid w:val="0"/>
        <w:spacing w:line="360" w:lineRule="auto"/>
        <w:ind w:firstLine="600" w:firstLineChars="200"/>
        <w:rPr>
          <w:rFonts w:ascii="Times New Roman" w:hAnsi="Times New Roman" w:eastAsia="黑体" w:cs="Times New Roman"/>
          <w:sz w:val="30"/>
          <w:szCs w:val="30"/>
        </w:rPr>
      </w:pPr>
      <w:r>
        <w:rPr>
          <w:rFonts w:hint="eastAsia" w:ascii="Times New Roman" w:hAnsi="Times New Roman" w:eastAsia="黑体" w:cs="Times New Roman"/>
          <w:sz w:val="30"/>
          <w:szCs w:val="30"/>
          <w:lang w:eastAsia="zh-CN"/>
        </w:rPr>
        <w:t>八、</w:t>
      </w:r>
      <w:r>
        <w:rPr>
          <w:rFonts w:ascii="Times New Roman" w:hAnsi="Times New Roman" w:eastAsia="黑体" w:cs="Times New Roman"/>
          <w:sz w:val="30"/>
          <w:szCs w:val="30"/>
        </w:rPr>
        <w:t>办事条件</w:t>
      </w:r>
    </w:p>
    <w:p>
      <w:pPr>
        <w:pStyle w:val="13"/>
        <w:widowControl w:val="0"/>
        <w:adjustRightInd w:val="0"/>
        <w:snapToGrid w:val="0"/>
        <w:spacing w:before="0" w:beforeAutospacing="0" w:after="0" w:afterAutospacing="0" w:line="360" w:lineRule="auto"/>
        <w:ind w:firstLine="600" w:firstLineChars="200"/>
        <w:jc w:val="both"/>
        <w:rPr>
          <w:rFonts w:ascii="Times New Roman" w:hAnsi="Times New Roman" w:eastAsia="仿宋_GB2312" w:cs="Times New Roman"/>
          <w:sz w:val="30"/>
          <w:szCs w:val="30"/>
        </w:rPr>
      </w:pPr>
      <w:r>
        <w:rPr>
          <w:rFonts w:ascii="Times New Roman" w:hAnsi="Times New Roman" w:eastAsia="仿宋_GB2312" w:cs="Times New Roman"/>
          <w:sz w:val="30"/>
          <w:szCs w:val="30"/>
        </w:rPr>
        <w:t>1.</w:t>
      </w:r>
      <w:r>
        <w:rPr>
          <w:rFonts w:ascii="Times New Roman" w:hAnsi="Times New Roman" w:eastAsia="仿宋_GB2312" w:cs="Times New Roman"/>
          <w:kern w:val="2"/>
          <w:sz w:val="30"/>
          <w:szCs w:val="30"/>
        </w:rPr>
        <w:t>取得即期结售汇业务资格。</w:t>
      </w:r>
    </w:p>
    <w:p>
      <w:pPr>
        <w:pStyle w:val="13"/>
        <w:widowControl w:val="0"/>
        <w:adjustRightInd w:val="0"/>
        <w:snapToGrid w:val="0"/>
        <w:spacing w:before="0" w:beforeAutospacing="0" w:after="0" w:afterAutospacing="0" w:line="360" w:lineRule="auto"/>
        <w:ind w:firstLine="600" w:firstLineChars="200"/>
        <w:jc w:val="both"/>
        <w:rPr>
          <w:rFonts w:ascii="Times New Roman" w:hAnsi="Times New Roman" w:eastAsia="仿宋_GB2312" w:cs="Times New Roman"/>
          <w:sz w:val="30"/>
          <w:szCs w:val="30"/>
        </w:rPr>
      </w:pPr>
      <w:r>
        <w:rPr>
          <w:rFonts w:ascii="Times New Roman" w:hAnsi="Times New Roman" w:eastAsia="仿宋_GB2312" w:cs="Times New Roman"/>
          <w:sz w:val="30"/>
          <w:szCs w:val="30"/>
        </w:rPr>
        <w:t>2.有健全的衍生产品交易风险管理制度和内部控制制度及适当的风险识别、计量、管理和交易系统，配备开展衍生产品业务所需要的专业人员。</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3.符合银行业监督管理部门有关金融衍生产品交易业务资格的规定。</w:t>
      </w:r>
    </w:p>
    <w:p>
      <w:pPr>
        <w:ind w:firstLine="600" w:firstLineChars="200"/>
        <w:rPr>
          <w:rFonts w:ascii="Times New Roman" w:hAnsi="Times New Roman" w:eastAsia="黑体" w:cs="Times New Roman"/>
          <w:sz w:val="30"/>
          <w:szCs w:val="30"/>
        </w:rPr>
      </w:pPr>
      <w:r>
        <w:rPr>
          <w:rFonts w:hint="eastAsia" w:ascii="Times New Roman" w:hAnsi="Times New Roman" w:eastAsia="黑体" w:cs="Times New Roman"/>
          <w:sz w:val="30"/>
          <w:szCs w:val="30"/>
          <w:lang w:eastAsia="zh-CN"/>
        </w:rPr>
        <w:t>九、</w:t>
      </w:r>
      <w:r>
        <w:rPr>
          <w:rFonts w:ascii="Times New Roman" w:hAnsi="Times New Roman" w:eastAsia="黑体" w:cs="Times New Roman"/>
          <w:sz w:val="30"/>
          <w:szCs w:val="30"/>
        </w:rPr>
        <w:t>申请材料</w:t>
      </w:r>
    </w:p>
    <w:tbl>
      <w:tblPr>
        <w:tblStyle w:val="14"/>
        <w:tblW w:w="840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1276"/>
        <w:gridCol w:w="960"/>
        <w:gridCol w:w="457"/>
        <w:gridCol w:w="851"/>
        <w:gridCol w:w="2977"/>
        <w:gridCol w:w="10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序号</w:t>
            </w:r>
          </w:p>
        </w:tc>
        <w:tc>
          <w:tcPr>
            <w:tcW w:w="1276"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提交材料名称</w:t>
            </w:r>
          </w:p>
        </w:tc>
        <w:tc>
          <w:tcPr>
            <w:tcW w:w="960"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原件/复印件</w:t>
            </w:r>
          </w:p>
        </w:tc>
        <w:tc>
          <w:tcPr>
            <w:tcW w:w="457"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份数</w:t>
            </w:r>
          </w:p>
        </w:tc>
        <w:tc>
          <w:tcPr>
            <w:tcW w:w="851"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纸质/电子</w:t>
            </w:r>
          </w:p>
        </w:tc>
        <w:tc>
          <w:tcPr>
            <w:tcW w:w="2977"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要求</w:t>
            </w:r>
          </w:p>
        </w:tc>
        <w:tc>
          <w:tcPr>
            <w:tcW w:w="1064"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1276"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申请报告、可行性报告及业务计划书</w:t>
            </w:r>
          </w:p>
        </w:tc>
        <w:tc>
          <w:tcPr>
            <w:tcW w:w="960"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w:t>
            </w:r>
          </w:p>
        </w:tc>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r>
              <w:rPr>
                <w:rFonts w:hint="eastAsia" w:ascii="Times New Roman" w:hAnsi="Times New Roman" w:eastAsia="仿宋_GB2312" w:cs="Times New Roman"/>
                <w:sz w:val="24"/>
                <w:szCs w:val="24"/>
              </w:rPr>
              <w:t>/电子</w:t>
            </w:r>
          </w:p>
        </w:tc>
        <w:tc>
          <w:tcPr>
            <w:tcW w:w="2977" w:type="dxa"/>
            <w:vAlign w:val="center"/>
          </w:tcPr>
          <w:p>
            <w:pPr>
              <w:jc w:val="left"/>
              <w:rPr>
                <w:rFonts w:ascii="Times New Roman" w:hAnsi="Times New Roman" w:eastAsia="仿宋_GB2312" w:cs="Times New Roman"/>
                <w:b/>
                <w:bCs/>
                <w:kern w:val="44"/>
                <w:sz w:val="24"/>
                <w:szCs w:val="24"/>
              </w:rPr>
            </w:pPr>
          </w:p>
        </w:tc>
        <w:tc>
          <w:tcPr>
            <w:tcW w:w="1064" w:type="dxa"/>
            <w:vAlign w:val="center"/>
          </w:tcPr>
          <w:p>
            <w:pPr>
              <w:jc w:val="left"/>
              <w:rPr>
                <w:rFonts w:ascii="Times New Roman" w:hAnsi="Times New Roman" w:eastAsia="仿宋_GB2312" w:cs="Times New Roman"/>
                <w:b/>
                <w:bCs/>
                <w:kern w:val="44"/>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2</w:t>
            </w:r>
          </w:p>
        </w:tc>
        <w:tc>
          <w:tcPr>
            <w:tcW w:w="1276"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衍生产品业务内部管理规章制度</w:t>
            </w:r>
          </w:p>
        </w:tc>
        <w:tc>
          <w:tcPr>
            <w:tcW w:w="960"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w:t>
            </w:r>
          </w:p>
        </w:tc>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r>
              <w:rPr>
                <w:rFonts w:hint="eastAsia" w:ascii="Times New Roman" w:hAnsi="Times New Roman" w:eastAsia="仿宋_GB2312" w:cs="Times New Roman"/>
                <w:sz w:val="24"/>
                <w:szCs w:val="24"/>
              </w:rPr>
              <w:t>/电子</w:t>
            </w:r>
          </w:p>
        </w:tc>
        <w:tc>
          <w:tcPr>
            <w:tcW w:w="2977"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应当至少包括以下内容：</w:t>
            </w:r>
          </w:p>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1．业务操作规程，包括交易受理、客户评估、单证审核等业务流程和操作标准；2．产品定价模型，包括定价方法和各项参数的选取标准及来源；</w:t>
            </w:r>
          </w:p>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3．风险管理制度，包括风险管理架构、风险模型指标及量化管理指标、风险缓释措施、头寸平盘机制；</w:t>
            </w:r>
          </w:p>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4．会计核算制度，包括科目设置和会计核算方法；</w:t>
            </w:r>
          </w:p>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5．统计报告制度，包括数据采集渠道和操作程序。</w:t>
            </w:r>
          </w:p>
        </w:tc>
        <w:tc>
          <w:tcPr>
            <w:tcW w:w="1064"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银行应当根据拟开办各类衍生产品业务的实际特征，提交具有针对性与适用性的文件和资料。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3</w:t>
            </w:r>
          </w:p>
        </w:tc>
        <w:tc>
          <w:tcPr>
            <w:tcW w:w="1276"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主管人员和主要交易人员名单、履历</w:t>
            </w:r>
          </w:p>
        </w:tc>
        <w:tc>
          <w:tcPr>
            <w:tcW w:w="960"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w:t>
            </w:r>
          </w:p>
        </w:tc>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r>
              <w:rPr>
                <w:rFonts w:hint="eastAsia" w:ascii="Times New Roman" w:hAnsi="Times New Roman" w:eastAsia="仿宋_GB2312" w:cs="Times New Roman"/>
                <w:sz w:val="24"/>
                <w:szCs w:val="24"/>
              </w:rPr>
              <w:t>/电子</w:t>
            </w:r>
          </w:p>
        </w:tc>
        <w:tc>
          <w:tcPr>
            <w:tcW w:w="2977" w:type="dxa"/>
            <w:vAlign w:val="center"/>
          </w:tcPr>
          <w:p>
            <w:pPr>
              <w:jc w:val="center"/>
              <w:rPr>
                <w:rFonts w:ascii="Times New Roman" w:hAnsi="Times New Roman" w:eastAsia="仿宋_GB2312" w:cs="Times New Roman"/>
                <w:b/>
                <w:bCs/>
                <w:kern w:val="44"/>
                <w:sz w:val="24"/>
                <w:szCs w:val="24"/>
              </w:rPr>
            </w:pPr>
          </w:p>
        </w:tc>
        <w:tc>
          <w:tcPr>
            <w:tcW w:w="1064" w:type="dxa"/>
            <w:vAlign w:val="center"/>
          </w:tcPr>
          <w:p>
            <w:pPr>
              <w:jc w:val="center"/>
              <w:rPr>
                <w:rFonts w:ascii="Times New Roman" w:hAnsi="Times New Roman" w:eastAsia="仿宋_GB2312" w:cs="Times New Roman"/>
                <w:b/>
                <w:bCs/>
                <w:kern w:val="44"/>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4</w:t>
            </w:r>
          </w:p>
        </w:tc>
        <w:tc>
          <w:tcPr>
            <w:tcW w:w="1276"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符合银行业监督管理部门有关金融衍生产品交易业务资格规定的证明文件</w:t>
            </w:r>
          </w:p>
        </w:tc>
        <w:tc>
          <w:tcPr>
            <w:tcW w:w="960"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加盖</w:t>
            </w:r>
            <w:r>
              <w:rPr>
                <w:rFonts w:hint="eastAsia" w:ascii="Times New Roman" w:hAnsi="Times New Roman" w:eastAsia="仿宋_GB2312" w:cs="Times New Roman"/>
                <w:sz w:val="24"/>
                <w:szCs w:val="24"/>
              </w:rPr>
              <w:t>银行</w:t>
            </w:r>
            <w:r>
              <w:rPr>
                <w:rFonts w:ascii="Times New Roman" w:hAnsi="Times New Roman" w:eastAsia="仿宋_GB2312" w:cs="Times New Roman"/>
                <w:sz w:val="24"/>
                <w:szCs w:val="24"/>
              </w:rPr>
              <w:t>公章的复印件</w:t>
            </w:r>
          </w:p>
        </w:tc>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r>
              <w:rPr>
                <w:rFonts w:hint="eastAsia" w:ascii="Times New Roman" w:hAnsi="Times New Roman" w:eastAsia="仿宋_GB2312" w:cs="Times New Roman"/>
                <w:sz w:val="24"/>
                <w:szCs w:val="24"/>
              </w:rPr>
              <w:t>/电子</w:t>
            </w:r>
          </w:p>
        </w:tc>
        <w:tc>
          <w:tcPr>
            <w:tcW w:w="2977" w:type="dxa"/>
            <w:vAlign w:val="center"/>
          </w:tcPr>
          <w:p>
            <w:pPr>
              <w:jc w:val="center"/>
              <w:rPr>
                <w:rFonts w:ascii="Times New Roman" w:hAnsi="Times New Roman" w:eastAsia="仿宋_GB2312" w:cs="Times New Roman"/>
                <w:b/>
                <w:bCs/>
                <w:kern w:val="44"/>
                <w:sz w:val="24"/>
                <w:szCs w:val="24"/>
              </w:rPr>
            </w:pPr>
          </w:p>
        </w:tc>
        <w:tc>
          <w:tcPr>
            <w:tcW w:w="1064" w:type="dxa"/>
            <w:vAlign w:val="center"/>
          </w:tcPr>
          <w:p>
            <w:pPr>
              <w:jc w:val="center"/>
              <w:rPr>
                <w:rFonts w:ascii="Times New Roman" w:hAnsi="Times New Roman" w:eastAsia="仿宋_GB2312" w:cs="Times New Roman"/>
                <w:b/>
                <w:bCs/>
                <w:kern w:val="44"/>
                <w:sz w:val="24"/>
                <w:szCs w:val="24"/>
              </w:rPr>
            </w:pPr>
          </w:p>
        </w:tc>
      </w:tr>
    </w:tbl>
    <w:p>
      <w:pPr>
        <w:keepNext w:val="0"/>
        <w:keepLines w:val="0"/>
        <w:pageBreakBefore w:val="0"/>
        <w:widowControl w:val="0"/>
        <w:kinsoku/>
        <w:wordWrap/>
        <w:overflowPunct/>
        <w:topLinePunct w:val="0"/>
        <w:autoSpaceDE/>
        <w:autoSpaceDN/>
        <w:bidi w:val="0"/>
        <w:adjustRightInd w:val="0"/>
        <w:snapToGrid w:val="0"/>
        <w:spacing w:before="157" w:beforeLines="50" w:line="360" w:lineRule="auto"/>
        <w:ind w:firstLine="600" w:firstLineChars="200"/>
        <w:textAlignment w:val="auto"/>
        <w:rPr>
          <w:rFonts w:ascii="Times New Roman" w:hAnsi="Times New Roman" w:eastAsia="黑体" w:cs="Times New Roman"/>
          <w:sz w:val="30"/>
          <w:szCs w:val="30"/>
        </w:rPr>
      </w:pPr>
      <w:r>
        <w:rPr>
          <w:rFonts w:hint="eastAsia" w:ascii="Times New Roman" w:hAnsi="Times New Roman" w:eastAsia="黑体" w:cs="Times New Roman"/>
          <w:sz w:val="30"/>
          <w:szCs w:val="30"/>
          <w:lang w:eastAsia="zh-CN"/>
        </w:rPr>
        <w:t>十、</w:t>
      </w:r>
      <w:r>
        <w:rPr>
          <w:rFonts w:ascii="Times New Roman" w:hAnsi="Times New Roman" w:eastAsia="黑体" w:cs="Times New Roman"/>
          <w:sz w:val="30"/>
          <w:szCs w:val="30"/>
        </w:rPr>
        <w:t>申请接受</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申请人可通过窗口、邮寄</w:t>
      </w:r>
      <w:r>
        <w:rPr>
          <w:rFonts w:hint="eastAsia" w:ascii="Times New Roman" w:hAnsi="Times New Roman" w:eastAsia="仿宋_GB2312" w:cs="Times New Roman"/>
          <w:sz w:val="30"/>
          <w:szCs w:val="30"/>
        </w:rPr>
        <w:t>、国家外汇管理局政务服务网上办理系统（http://zwfw.safe.gov.cn/asone</w:t>
      </w:r>
      <w:r>
        <w:rPr>
          <w:rFonts w:ascii="Times New Roman" w:hAnsi="Times New Roman" w:eastAsia="仿宋_GB2312" w:cs="Times New Roman"/>
          <w:sz w:val="30"/>
          <w:szCs w:val="30"/>
        </w:rPr>
        <w:t>/</w:t>
      </w:r>
      <w:r>
        <w:rPr>
          <w:rFonts w:hint="eastAsia" w:ascii="Times New Roman" w:hAnsi="Times New Roman" w:eastAsia="仿宋_GB2312" w:cs="Times New Roman"/>
          <w:sz w:val="30"/>
          <w:szCs w:val="30"/>
        </w:rPr>
        <w:t>）</w:t>
      </w:r>
      <w:r>
        <w:rPr>
          <w:rFonts w:ascii="Times New Roman" w:hAnsi="Times New Roman" w:eastAsia="仿宋_GB2312" w:cs="Times New Roman"/>
          <w:sz w:val="30"/>
          <w:szCs w:val="30"/>
        </w:rPr>
        <w:t>等方式提交材料。</w:t>
      </w:r>
    </w:p>
    <w:p>
      <w:pPr>
        <w:adjustRightInd w:val="0"/>
        <w:snapToGrid w:val="0"/>
        <w:spacing w:line="360" w:lineRule="auto"/>
        <w:ind w:firstLine="600" w:firstLineChars="200"/>
        <w:rPr>
          <w:rFonts w:ascii="Times New Roman" w:hAnsi="Times New Roman" w:eastAsia="黑体" w:cs="Times New Roman"/>
          <w:sz w:val="30"/>
          <w:szCs w:val="30"/>
        </w:rPr>
      </w:pPr>
      <w:r>
        <w:rPr>
          <w:rFonts w:hint="eastAsia" w:ascii="Times New Roman" w:hAnsi="Times New Roman" w:eastAsia="黑体" w:cs="Times New Roman"/>
          <w:sz w:val="30"/>
          <w:szCs w:val="30"/>
          <w:lang w:eastAsia="zh-CN"/>
        </w:rPr>
        <w:t>十一、</w:t>
      </w:r>
      <w:r>
        <w:rPr>
          <w:rFonts w:ascii="Times New Roman" w:hAnsi="Times New Roman" w:eastAsia="黑体" w:cs="Times New Roman"/>
          <w:sz w:val="30"/>
          <w:szCs w:val="30"/>
        </w:rPr>
        <w:t>基本办理流程</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1.申请人提交申请；</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2.决定是否予以受理；</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3.不予受理的，出具不予受理通知书；受理的，出具受理通知书，进行审查报批；</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4.不予许可的，出具不予许可通知书。许可的，向申请人出具</w:t>
      </w:r>
      <w:r>
        <w:rPr>
          <w:rFonts w:hint="eastAsia" w:ascii="Times New Roman" w:hAnsi="Times New Roman" w:eastAsia="仿宋_GB2312" w:cs="Times New Roman"/>
          <w:sz w:val="30"/>
          <w:szCs w:val="30"/>
        </w:rPr>
        <w:t>批准文件或备案通知书</w:t>
      </w:r>
      <w:r>
        <w:rPr>
          <w:rFonts w:ascii="Times New Roman" w:hAnsi="Times New Roman" w:eastAsia="仿宋_GB2312" w:cs="Times New Roman"/>
          <w:sz w:val="30"/>
          <w:szCs w:val="30"/>
        </w:rPr>
        <w:t>。</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5.材料不全或不符合法定形式的，一次性告知补正材料，并出具《行政许可补正通知书》。</w:t>
      </w:r>
    </w:p>
    <w:p>
      <w:pPr>
        <w:adjustRightInd w:val="0"/>
        <w:snapToGrid w:val="0"/>
        <w:spacing w:line="360" w:lineRule="auto"/>
        <w:ind w:firstLine="600" w:firstLineChars="200"/>
        <w:rPr>
          <w:rFonts w:ascii="Times New Roman" w:hAnsi="Times New Roman" w:eastAsia="黑体" w:cs="Times New Roman"/>
          <w:sz w:val="30"/>
          <w:szCs w:val="30"/>
        </w:rPr>
      </w:pPr>
      <w:r>
        <w:rPr>
          <w:rFonts w:hint="eastAsia" w:ascii="Times New Roman" w:hAnsi="Times New Roman" w:eastAsia="黑体" w:cs="Times New Roman"/>
          <w:sz w:val="30"/>
          <w:szCs w:val="30"/>
          <w:lang w:eastAsia="zh-CN"/>
        </w:rPr>
        <w:t>十二、</w:t>
      </w:r>
      <w:r>
        <w:rPr>
          <w:rFonts w:ascii="Times New Roman" w:hAnsi="Times New Roman" w:eastAsia="黑体" w:cs="Times New Roman"/>
          <w:sz w:val="30"/>
          <w:szCs w:val="30"/>
        </w:rPr>
        <w:t>办理方式</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一般程序：申请、受理、审查、出具</w:t>
      </w:r>
      <w:r>
        <w:rPr>
          <w:rFonts w:hint="eastAsia" w:ascii="Times New Roman" w:hAnsi="Times New Roman" w:eastAsia="仿宋_GB2312" w:cs="Times New Roman"/>
          <w:sz w:val="30"/>
          <w:szCs w:val="30"/>
        </w:rPr>
        <w:t>批准文件或备案通知书</w:t>
      </w:r>
      <w:r>
        <w:rPr>
          <w:rFonts w:ascii="Times New Roman" w:hAnsi="Times New Roman" w:eastAsia="仿宋_GB2312" w:cs="Times New Roman"/>
          <w:sz w:val="30"/>
          <w:szCs w:val="30"/>
        </w:rPr>
        <w:t>。</w:t>
      </w:r>
    </w:p>
    <w:p>
      <w:pPr>
        <w:adjustRightInd w:val="0"/>
        <w:snapToGrid w:val="0"/>
        <w:spacing w:line="360" w:lineRule="auto"/>
        <w:ind w:firstLine="600" w:firstLineChars="200"/>
        <w:rPr>
          <w:rFonts w:ascii="Times New Roman" w:hAnsi="Times New Roman" w:eastAsia="黑体" w:cs="Times New Roman"/>
          <w:sz w:val="30"/>
          <w:szCs w:val="30"/>
        </w:rPr>
      </w:pPr>
      <w:r>
        <w:rPr>
          <w:rFonts w:hint="eastAsia" w:ascii="Times New Roman" w:hAnsi="Times New Roman" w:eastAsia="黑体" w:cs="Times New Roman"/>
          <w:sz w:val="30"/>
          <w:szCs w:val="30"/>
          <w:lang w:eastAsia="zh-CN"/>
        </w:rPr>
        <w:t>十三、</w:t>
      </w:r>
      <w:r>
        <w:rPr>
          <w:rFonts w:ascii="Times New Roman" w:hAnsi="Times New Roman" w:eastAsia="黑体" w:cs="Times New Roman"/>
          <w:sz w:val="30"/>
          <w:szCs w:val="30"/>
        </w:rPr>
        <w:t>审批时限</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20个工作日。</w:t>
      </w:r>
    </w:p>
    <w:p>
      <w:pPr>
        <w:adjustRightInd w:val="0"/>
        <w:snapToGrid w:val="0"/>
        <w:spacing w:line="360" w:lineRule="auto"/>
        <w:ind w:firstLine="585"/>
        <w:rPr>
          <w:rFonts w:ascii="Times New Roman" w:hAnsi="Times New Roman" w:eastAsia="黑体" w:cs="Times New Roman"/>
          <w:sz w:val="30"/>
          <w:szCs w:val="30"/>
        </w:rPr>
      </w:pPr>
      <w:r>
        <w:rPr>
          <w:rFonts w:hint="eastAsia" w:ascii="Times New Roman" w:hAnsi="Times New Roman" w:eastAsia="黑体" w:cs="Times New Roman"/>
          <w:sz w:val="30"/>
          <w:szCs w:val="30"/>
          <w:lang w:eastAsia="zh-CN"/>
        </w:rPr>
        <w:t>十四、</w:t>
      </w:r>
      <w:r>
        <w:rPr>
          <w:rFonts w:ascii="Times New Roman" w:hAnsi="Times New Roman" w:eastAsia="黑体" w:cs="Times New Roman"/>
          <w:sz w:val="30"/>
          <w:szCs w:val="30"/>
        </w:rPr>
        <w:t>审批收费依据及标准</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不收费。</w:t>
      </w:r>
    </w:p>
    <w:p>
      <w:pPr>
        <w:adjustRightInd w:val="0"/>
        <w:snapToGrid w:val="0"/>
        <w:spacing w:line="360" w:lineRule="auto"/>
        <w:ind w:firstLine="600" w:firstLineChars="200"/>
        <w:rPr>
          <w:rFonts w:ascii="Times New Roman" w:hAnsi="Times New Roman" w:eastAsia="黑体" w:cs="Times New Roman"/>
          <w:sz w:val="30"/>
          <w:szCs w:val="30"/>
        </w:rPr>
      </w:pPr>
      <w:r>
        <w:rPr>
          <w:rFonts w:hint="eastAsia" w:ascii="Times New Roman" w:hAnsi="Times New Roman" w:eastAsia="黑体" w:cs="Times New Roman"/>
          <w:sz w:val="30"/>
          <w:szCs w:val="30"/>
          <w:lang w:eastAsia="zh-CN"/>
        </w:rPr>
        <w:t>十五、</w:t>
      </w:r>
      <w:r>
        <w:rPr>
          <w:rFonts w:ascii="Times New Roman" w:hAnsi="Times New Roman" w:eastAsia="黑体" w:cs="Times New Roman"/>
          <w:sz w:val="30"/>
          <w:szCs w:val="30"/>
        </w:rPr>
        <w:t>审批结果</w:t>
      </w:r>
    </w:p>
    <w:p>
      <w:pPr>
        <w:adjustRightInd w:val="0"/>
        <w:snapToGrid w:val="0"/>
        <w:spacing w:line="360" w:lineRule="auto"/>
        <w:ind w:firstLine="6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批准文件或备案通知书</w:t>
      </w:r>
      <w:r>
        <w:rPr>
          <w:rFonts w:ascii="Times New Roman" w:hAnsi="Times New Roman" w:eastAsia="仿宋_GB2312" w:cs="Times New Roman"/>
          <w:sz w:val="30"/>
          <w:szCs w:val="30"/>
        </w:rPr>
        <w:t>。</w:t>
      </w:r>
    </w:p>
    <w:p>
      <w:pPr>
        <w:adjustRightInd w:val="0"/>
        <w:snapToGrid w:val="0"/>
        <w:spacing w:line="360" w:lineRule="auto"/>
        <w:ind w:firstLine="600"/>
        <w:rPr>
          <w:rFonts w:ascii="Times New Roman" w:hAnsi="Times New Roman" w:eastAsia="黑体" w:cs="Times New Roman"/>
          <w:sz w:val="30"/>
          <w:szCs w:val="30"/>
        </w:rPr>
      </w:pPr>
      <w:r>
        <w:rPr>
          <w:rFonts w:hint="eastAsia" w:ascii="Times New Roman" w:hAnsi="Times New Roman" w:eastAsia="黑体" w:cs="Times New Roman"/>
          <w:sz w:val="30"/>
          <w:szCs w:val="30"/>
          <w:lang w:eastAsia="zh-CN"/>
        </w:rPr>
        <w:t>十六、</w:t>
      </w:r>
      <w:r>
        <w:rPr>
          <w:rFonts w:ascii="Times New Roman" w:hAnsi="Times New Roman" w:eastAsia="黑体" w:cs="Times New Roman"/>
          <w:sz w:val="30"/>
          <w:szCs w:val="30"/>
        </w:rPr>
        <w:t>结果送达</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通过现场告知或电话通知申请人，并通过现场领取或邮寄方式将结果送达。</w:t>
      </w:r>
    </w:p>
    <w:p>
      <w:pPr>
        <w:adjustRightInd w:val="0"/>
        <w:snapToGrid w:val="0"/>
        <w:spacing w:line="360" w:lineRule="auto"/>
        <w:ind w:firstLine="600"/>
        <w:rPr>
          <w:rFonts w:ascii="Times New Roman" w:hAnsi="Times New Roman" w:eastAsia="黑体" w:cs="Times New Roman"/>
          <w:sz w:val="30"/>
          <w:szCs w:val="30"/>
        </w:rPr>
      </w:pPr>
      <w:r>
        <w:rPr>
          <w:rFonts w:hint="eastAsia" w:ascii="Times New Roman" w:hAnsi="Times New Roman" w:eastAsia="黑体" w:cs="Times New Roman"/>
          <w:sz w:val="30"/>
          <w:szCs w:val="30"/>
          <w:lang w:eastAsia="zh-CN"/>
        </w:rPr>
        <w:t>十七、</w:t>
      </w:r>
      <w:r>
        <w:rPr>
          <w:rFonts w:ascii="Times New Roman" w:hAnsi="Times New Roman" w:eastAsia="黑体" w:cs="Times New Roman"/>
          <w:sz w:val="30"/>
          <w:szCs w:val="30"/>
        </w:rPr>
        <w:t>申请人权利和义务</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申请人有权依法提出行政审批申请，依法进行投诉、举报、复议、诉讼等。申请人有义务保证申请材料完整、真实、准确，获批后合法合规办理相关业务。</w:t>
      </w:r>
    </w:p>
    <w:p>
      <w:pPr>
        <w:adjustRightInd w:val="0"/>
        <w:snapToGrid w:val="0"/>
        <w:spacing w:line="360" w:lineRule="auto"/>
        <w:ind w:firstLine="600"/>
        <w:rPr>
          <w:rFonts w:ascii="Times New Roman" w:hAnsi="Times New Roman" w:eastAsia="黑体" w:cs="Times New Roman"/>
          <w:sz w:val="30"/>
          <w:szCs w:val="30"/>
        </w:rPr>
      </w:pPr>
      <w:r>
        <w:rPr>
          <w:rFonts w:hint="eastAsia" w:ascii="Times New Roman" w:hAnsi="Times New Roman" w:eastAsia="黑体" w:cs="Times New Roman"/>
          <w:sz w:val="30"/>
          <w:szCs w:val="30"/>
          <w:lang w:eastAsia="zh-CN"/>
        </w:rPr>
        <w:t>十八、</w:t>
      </w:r>
      <w:r>
        <w:rPr>
          <w:rFonts w:ascii="Times New Roman" w:hAnsi="Times New Roman" w:eastAsia="黑体" w:cs="Times New Roman"/>
          <w:sz w:val="30"/>
          <w:szCs w:val="30"/>
        </w:rPr>
        <w:t>事项审查类型</w:t>
      </w:r>
    </w:p>
    <w:p>
      <w:pPr>
        <w:adjustRightInd w:val="0"/>
        <w:snapToGrid w:val="0"/>
        <w:spacing w:line="360" w:lineRule="auto"/>
        <w:ind w:firstLine="600"/>
        <w:rPr>
          <w:rFonts w:hint="eastAsia" w:ascii="Times New Roman" w:hAnsi="Times New Roman" w:eastAsia="仿宋_GB2312" w:cs="Times New Roman"/>
          <w:sz w:val="30"/>
          <w:szCs w:val="30"/>
          <w:lang w:eastAsia="zh-CN"/>
        </w:rPr>
      </w:pPr>
      <w:r>
        <w:rPr>
          <w:rFonts w:ascii="Times New Roman" w:hAnsi="Times New Roman" w:eastAsia="仿宋_GB2312" w:cs="Times New Roman"/>
          <w:sz w:val="30"/>
          <w:szCs w:val="30"/>
        </w:rPr>
        <w:t>前审后批</w:t>
      </w:r>
      <w:r>
        <w:rPr>
          <w:rFonts w:hint="eastAsia" w:ascii="Times New Roman" w:hAnsi="Times New Roman" w:eastAsia="仿宋_GB2312" w:cs="Times New Roman"/>
          <w:sz w:val="30"/>
          <w:szCs w:val="30"/>
          <w:lang w:eastAsia="zh-CN"/>
        </w:rPr>
        <w:t>。</w:t>
      </w:r>
    </w:p>
    <w:p>
      <w:pPr>
        <w:adjustRightInd w:val="0"/>
        <w:snapToGrid w:val="0"/>
        <w:spacing w:line="360" w:lineRule="auto"/>
        <w:ind w:firstLine="601"/>
        <w:rPr>
          <w:rFonts w:ascii="Times New Roman" w:hAnsi="Times New Roman" w:eastAsia="黑体" w:cs="Times New Roman"/>
          <w:sz w:val="30"/>
          <w:szCs w:val="30"/>
        </w:rPr>
      </w:pPr>
      <w:r>
        <w:rPr>
          <w:rFonts w:hint="eastAsia" w:ascii="Times New Roman" w:hAnsi="Times New Roman" w:eastAsia="黑体" w:cs="Times New Roman"/>
          <w:sz w:val="30"/>
          <w:szCs w:val="30"/>
          <w:lang w:eastAsia="zh-CN"/>
        </w:rPr>
        <w:t>十九、</w:t>
      </w:r>
      <w:r>
        <w:rPr>
          <w:rFonts w:hint="eastAsia" w:ascii="Times New Roman" w:hAnsi="Times New Roman" w:eastAsia="黑体" w:cs="Times New Roman"/>
          <w:sz w:val="30"/>
          <w:szCs w:val="30"/>
        </w:rPr>
        <w:t>咨询途径、监督和投诉、办公地址和时间、公开查询方式等</w:t>
      </w:r>
    </w:p>
    <w:p>
      <w:pPr>
        <w:adjustRightInd w:val="0"/>
        <w:snapToGrid w:val="0"/>
        <w:spacing w:line="360" w:lineRule="auto"/>
        <w:ind w:firstLine="601"/>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向注册所在地外汇局进行咨询、办理进程查询、监督和投诉等，可通过国家外汇管理局官方互联网站www.safe.gov.cn链接至江苏分局“业务指南”栏目中公布的电话进行。</w:t>
      </w:r>
    </w:p>
    <w:p>
      <w:pPr>
        <w:adjustRightInd w:val="0"/>
        <w:snapToGrid w:val="0"/>
        <w:spacing w:line="360" w:lineRule="auto"/>
        <w:ind w:firstLine="600"/>
        <w:rPr>
          <w:rFonts w:ascii="Times New Roman" w:hAnsi="Times New Roman" w:eastAsia="黑体" w:cs="Times New Roman"/>
          <w:sz w:val="30"/>
          <w:szCs w:val="30"/>
        </w:rPr>
      </w:pPr>
      <w:r>
        <w:rPr>
          <w:rFonts w:hint="eastAsia" w:ascii="Times New Roman" w:hAnsi="Times New Roman" w:eastAsia="黑体" w:cs="Times New Roman"/>
          <w:sz w:val="30"/>
          <w:szCs w:val="30"/>
          <w:lang w:eastAsia="zh-CN"/>
        </w:rPr>
        <w:t>二十、</w:t>
      </w:r>
      <w:r>
        <w:rPr>
          <w:rFonts w:ascii="Times New Roman" w:hAnsi="Times New Roman" w:eastAsia="黑体" w:cs="Times New Roman"/>
          <w:sz w:val="30"/>
          <w:szCs w:val="30"/>
        </w:rPr>
        <w:t>禁止性要求</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如符合上述条件，不存在不予许可的情况。</w:t>
      </w:r>
    </w:p>
    <w:p>
      <w:pPr>
        <w:adjustRightInd w:val="0"/>
        <w:snapToGrid w:val="0"/>
        <w:spacing w:line="360" w:lineRule="auto"/>
        <w:ind w:firstLine="600"/>
        <w:rPr>
          <w:rFonts w:ascii="Times New Roman" w:hAnsi="Times New Roman" w:eastAsia="黑体" w:cs="Times New Roman"/>
          <w:sz w:val="30"/>
          <w:szCs w:val="30"/>
        </w:rPr>
      </w:pPr>
      <w:r>
        <w:rPr>
          <w:rFonts w:hint="eastAsia" w:ascii="Times New Roman" w:hAnsi="Times New Roman" w:eastAsia="黑体" w:cs="Times New Roman"/>
          <w:sz w:val="30"/>
          <w:szCs w:val="30"/>
          <w:lang w:eastAsia="zh-CN"/>
        </w:rPr>
        <w:t>二十一、</w:t>
      </w:r>
      <w:r>
        <w:rPr>
          <w:rFonts w:ascii="Times New Roman" w:hAnsi="Times New Roman" w:eastAsia="黑体" w:cs="Times New Roman"/>
          <w:sz w:val="30"/>
          <w:szCs w:val="30"/>
        </w:rPr>
        <w:t>申请材料示范文本</w:t>
      </w:r>
    </w:p>
    <w:p>
      <w:pPr>
        <w:adjustRightInd w:val="0"/>
        <w:snapToGrid w:val="0"/>
        <w:spacing w:line="360" w:lineRule="auto"/>
        <w:ind w:firstLine="6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无固定格式。有关内容要求详见</w:t>
      </w:r>
      <w:r>
        <w:rPr>
          <w:rFonts w:hint="eastAsia" w:ascii="Times New Roman" w:hAnsi="Times New Roman" w:eastAsia="仿宋_GB2312" w:cs="Times New Roman"/>
          <w:sz w:val="30"/>
          <w:szCs w:val="30"/>
          <w:lang w:eastAsia="zh-CN"/>
        </w:rPr>
        <w:t>“九、</w:t>
      </w:r>
      <w:r>
        <w:rPr>
          <w:rFonts w:hint="eastAsia" w:ascii="Times New Roman" w:hAnsi="Times New Roman" w:eastAsia="仿宋_GB2312" w:cs="Times New Roman"/>
          <w:sz w:val="30"/>
          <w:szCs w:val="30"/>
        </w:rPr>
        <w:t>申请材料</w:t>
      </w:r>
      <w:r>
        <w:rPr>
          <w:rFonts w:hint="eastAsia" w:ascii="Times New Roman" w:hAnsi="Times New Roman" w:eastAsia="仿宋_GB2312" w:cs="Times New Roman"/>
          <w:sz w:val="30"/>
          <w:szCs w:val="30"/>
          <w:lang w:eastAsia="zh-CN"/>
        </w:rPr>
        <w:t>”</w:t>
      </w:r>
      <w:r>
        <w:rPr>
          <w:rFonts w:hint="eastAsia" w:ascii="Times New Roman" w:hAnsi="Times New Roman" w:eastAsia="仿宋_GB2312" w:cs="Times New Roman"/>
          <w:sz w:val="30"/>
          <w:szCs w:val="30"/>
        </w:rPr>
        <w:t>。</w:t>
      </w:r>
    </w:p>
    <w:p>
      <w:pPr>
        <w:adjustRightInd w:val="0"/>
        <w:snapToGrid w:val="0"/>
        <w:spacing w:line="360" w:lineRule="auto"/>
        <w:ind w:firstLine="600"/>
        <w:rPr>
          <w:rFonts w:ascii="Times New Roman" w:hAnsi="Times New Roman" w:eastAsia="黑体" w:cs="Times New Roman"/>
          <w:sz w:val="30"/>
          <w:szCs w:val="30"/>
        </w:rPr>
      </w:pPr>
      <w:r>
        <w:rPr>
          <w:rFonts w:hint="eastAsia" w:ascii="Times New Roman" w:hAnsi="Times New Roman" w:eastAsia="黑体" w:cs="Times New Roman"/>
          <w:sz w:val="30"/>
          <w:szCs w:val="30"/>
          <w:lang w:eastAsia="zh-CN"/>
        </w:rPr>
        <w:t>二十二、</w:t>
      </w:r>
      <w:r>
        <w:rPr>
          <w:rFonts w:ascii="Times New Roman" w:hAnsi="Times New Roman" w:eastAsia="黑体" w:cs="Times New Roman"/>
          <w:sz w:val="30"/>
          <w:szCs w:val="30"/>
        </w:rPr>
        <w:t>常见问题解答</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审批时限在20个工作日以内。</w:t>
      </w:r>
    </w:p>
    <w:p>
      <w:pPr>
        <w:adjustRightInd w:val="0"/>
        <w:snapToGrid w:val="0"/>
        <w:spacing w:line="360" w:lineRule="auto"/>
        <w:ind w:firstLine="600"/>
        <w:rPr>
          <w:rFonts w:ascii="Times New Roman" w:hAnsi="Times New Roman" w:eastAsia="黑体" w:cs="Times New Roman"/>
          <w:sz w:val="30"/>
          <w:szCs w:val="30"/>
        </w:rPr>
      </w:pPr>
      <w:r>
        <w:rPr>
          <w:rFonts w:hint="eastAsia" w:ascii="Times New Roman" w:hAnsi="Times New Roman" w:eastAsia="黑体" w:cs="Times New Roman"/>
          <w:sz w:val="30"/>
          <w:szCs w:val="30"/>
          <w:lang w:eastAsia="zh-CN"/>
        </w:rPr>
        <w:t>二十三、</w:t>
      </w:r>
      <w:r>
        <w:rPr>
          <w:rFonts w:ascii="Times New Roman" w:hAnsi="Times New Roman" w:eastAsia="黑体" w:cs="Times New Roman"/>
          <w:sz w:val="30"/>
          <w:szCs w:val="30"/>
        </w:rPr>
        <w:t>常见错误示例</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申请材料不完全符合规定，例如符合银行业监督管理部门有关金融衍生产品交易业务资格规定的证明文件未加盖</w:t>
      </w:r>
      <w:r>
        <w:rPr>
          <w:rFonts w:hint="eastAsia" w:ascii="Times New Roman" w:hAnsi="Times New Roman" w:eastAsia="仿宋_GB2312" w:cs="Times New Roman"/>
          <w:sz w:val="30"/>
          <w:szCs w:val="30"/>
        </w:rPr>
        <w:t>银行</w:t>
      </w:r>
      <w:r>
        <w:rPr>
          <w:rFonts w:ascii="Times New Roman" w:hAnsi="Times New Roman" w:eastAsia="仿宋_GB2312" w:cs="Times New Roman"/>
          <w:sz w:val="30"/>
          <w:szCs w:val="30"/>
        </w:rPr>
        <w:t>公章等。</w:t>
      </w:r>
    </w:p>
    <w:p>
      <w:pPr>
        <w:ind w:right="300" w:firstLine="600"/>
        <w:rPr>
          <w:rFonts w:ascii="Times New Roman" w:hAnsi="Times New Roman" w:eastAsia="黑体" w:cs="Times New Roman"/>
          <w:sz w:val="30"/>
          <w:szCs w:val="30"/>
        </w:rPr>
      </w:pPr>
    </w:p>
    <w:p>
      <w:pPr>
        <w:ind w:right="300" w:firstLine="600"/>
        <w:rPr>
          <w:rFonts w:ascii="Times New Roman" w:hAnsi="Times New Roman" w:eastAsia="仿宋_GB2312" w:cs="Times New Roman"/>
          <w:sz w:val="30"/>
          <w:szCs w:val="30"/>
        </w:rPr>
        <w:sectPr>
          <w:footerReference r:id="rId4" w:type="default"/>
          <w:pgSz w:w="11906" w:h="16838"/>
          <w:pgMar w:top="1440" w:right="1800" w:bottom="1440" w:left="1800" w:header="851" w:footer="992" w:gutter="0"/>
          <w:cols w:space="720" w:num="1"/>
          <w:docGrid w:type="lines" w:linePitch="312" w:charSpace="0"/>
        </w:sectPr>
      </w:pPr>
    </w:p>
    <w:p>
      <w:pPr>
        <w:ind w:right="300"/>
        <w:rPr>
          <w:rFonts w:ascii="Times New Roman" w:hAnsi="Times New Roman" w:eastAsia="仿宋_GB2312" w:cs="Times New Roman"/>
          <w:sz w:val="30"/>
          <w:szCs w:val="30"/>
        </w:rPr>
      </w:pPr>
      <w:r>
        <w:rPr>
          <w:rFonts w:ascii="Times New Roman" w:hAnsi="Times New Roman" w:eastAsia="仿宋_GB2312" w:cs="Times New Roman"/>
          <w:sz w:val="30"/>
          <w:szCs w:val="30"/>
        </w:rPr>
        <w:t>附录</w:t>
      </w:r>
    </w:p>
    <w:p>
      <w:pPr>
        <w:ind w:right="300"/>
        <w:jc w:val="center"/>
        <w:rPr>
          <w:rFonts w:ascii="Times New Roman" w:hAnsi="Times New Roman" w:eastAsia="黑体" w:cs="Times New Roman"/>
          <w:sz w:val="30"/>
          <w:szCs w:val="30"/>
        </w:rPr>
      </w:pPr>
      <w:r>
        <w:rPr>
          <w:rFonts w:ascii="Times New Roman" w:hAnsi="Times New Roman" w:eastAsia="黑体" w:cs="Times New Roman"/>
          <w:sz w:val="30"/>
          <w:szCs w:val="30"/>
        </w:rPr>
        <w:t>基本流程图</w:t>
      </w:r>
    </w:p>
    <w:p>
      <w:pPr>
        <w:ind w:right="300"/>
        <w:jc w:val="center"/>
        <w:rPr>
          <w:rFonts w:ascii="Times New Roman" w:hAnsi="Times New Roman" w:cs="Times New Roman"/>
        </w:rPr>
      </w:pPr>
      <w:r>
        <w:rPr>
          <w:rFonts w:ascii="Times New Roman" w:hAnsi="Times New Roman" w:cs="Times New Roman"/>
        </w:rPr>
        <w:pict>
          <v:group id="Group 423" o:spid="_x0000_s1027" o:spt="203" style="position:absolute;left:0pt;margin-left:-39.65pt;margin-top:29.1pt;height:433.75pt;width:459.7pt;z-index:251659264;mso-width-relative:page;mso-height-relative:page;" coordorigin="1007,3270" coordsize="9194,8675">
            <o:lock v:ext="edit" aspectratio="f"/>
            <v:shape id="Straight Connector 424" o:spid="_x0000_s1028" o:spt="32" type="#_x0000_t32" style="position:absolute;left:2612;top:4693;height:1468;width:17;" filled="f" stroked="t" coordsize="21600,21600">
              <v:path arrowok="t"/>
              <v:fill on="f" focussize="0,0"/>
              <v:stroke color="#000000" endarrow="block"/>
              <v:imagedata o:title=""/>
              <o:lock v:ext="edit" aspectratio="f"/>
            </v:shape>
            <v:shape id="Straight Connector 425" o:spid="_x0000_s1029" o:spt="32" type="#_x0000_t32" style="position:absolute;left:3667;top:5789;height:0;width:1172;" filled="f" stroked="t" coordsize="21600,21600">
              <v:path arrowok="t"/>
              <v:fill on="f" focussize="0,0"/>
              <v:stroke color="#000000" endarrow="block"/>
              <v:imagedata o:title=""/>
              <o:lock v:ext="edit" aspectratio="f"/>
            </v:shape>
            <v:shape id="Straight Connector 426" o:spid="_x0000_s1030" o:spt="32" type="#_x0000_t32" style="position:absolute;left:3667;top:6593;height:0;width:1172;" filled="f" stroked="t" coordsize="21600,21600">
              <v:path arrowok="t"/>
              <v:fill on="f" focussize="0,0"/>
              <v:stroke color="#000000" endarrow="block"/>
              <v:imagedata o:title=""/>
              <o:lock v:ext="edit" aspectratio="f"/>
            </v:shape>
            <v:shape id="Straight Connector 427" o:spid="_x0000_s1031" o:spt="32" type="#_x0000_t32" style="position:absolute;left:8191;top:4642;flip:y;height:895;width:1;" filled="f" stroked="t" coordsize="21600,21600">
              <v:path arrowok="t"/>
              <v:fill on="f" focussize="0,0"/>
              <v:stroke color="#000000" endarrow="block"/>
              <v:imagedata o:title=""/>
              <o:lock v:ext="edit" aspectratio="f"/>
            </v:shape>
            <v:shape id="Straight Connector 428" o:spid="_x0000_s1032" o:spt="32" type="#_x0000_t32" style="position:absolute;left:2629;top:4981;flip:x;height:1;width:4643;" filled="f" stroked="t" coordsize="21600,21600">
              <v:path arrowok="t"/>
              <v:fill on="f" focussize="0,0"/>
              <v:stroke color="#000000" endarrow="block"/>
              <v:imagedata o:title=""/>
              <o:lock v:ext="edit" aspectratio="f"/>
            </v:shape>
            <v:shape id="Straight Connector 429" o:spid="_x0000_s1033" o:spt="32" type="#_x0000_t32" style="position:absolute;left:5392;top:8652;height:437;width:0;" filled="f" stroked="t" coordsize="21600,21600">
              <v:path arrowok="t"/>
              <v:fill on="f" focussize="0,0"/>
              <v:stroke color="#000000" endarrow="block"/>
              <v:imagedata o:title=""/>
              <o:lock v:ext="edit" aspectratio="f"/>
            </v:shape>
            <v:shape id="Straight Connector 430" o:spid="_x0000_s1034" o:spt="32" type="#_x0000_t32" style="position:absolute;left:6547;top:9623;height:905;width:17;" filled="f" stroked="t" coordsize="21600,21600">
              <v:path arrowok="t"/>
              <v:fill on="f" focussize="0,0"/>
              <v:stroke color="#000000" endarrow="block"/>
              <v:imagedata o:title=""/>
              <o:lock v:ext="edit" aspectratio="f"/>
            </v:shape>
            <v:shape id="Straight Connector 431" o:spid="_x0000_s1035" o:spt="32" type="#_x0000_t32" style="position:absolute;left:4432;top:9623;height:905;width:1;" filled="f" stroked="t" coordsize="21600,21600">
              <v:path arrowok="t"/>
              <v:fill on="f" focussize="0,0"/>
              <v:stroke color="#000000" endarrow="block"/>
              <v:imagedata o:title=""/>
              <o:lock v:ext="edit" aspectratio="f"/>
            </v:shape>
            <v:shape id="Straight Connector 432" o:spid="_x0000_s1036" o:spt="32" type="#_x0000_t32" style="position:absolute;left:2612;top:6826;height:1391;width:0;" filled="f" stroked="t" coordsize="21600,21600">
              <v:path arrowok="t"/>
              <v:fill on="f" focussize="0,0"/>
              <v:stroke color="#000000"/>
              <v:imagedata o:title=""/>
              <o:lock v:ext="edit" aspectratio="f"/>
            </v:shape>
            <v:shape id="Straight Connector 433" o:spid="_x0000_s1037" o:spt="32" type="#_x0000_t32" style="position:absolute;left:2612;top:8217;height:0;width:822;" filled="f" stroked="t" coordsize="21600,21600">
              <v:path arrowok="t"/>
              <v:fill on="f" focussize="0,0"/>
              <v:stroke color="#000000" endarrow="block"/>
              <v:imagedata o:title=""/>
              <o:lock v:ext="edit" aspectratio="f"/>
            </v:shape>
            <v:shape id="Flowchart: Decision 434" o:spid="_x0000_s1038" o:spt="110" type="#_x0000_t110" style="position:absolute;left:1007;top:5267;height:1889;width:3274;" fillcolor="#FFFFFF" filled="t" stroked="t" coordsize="21600,21600">
              <v:path/>
              <v:fill on="t" color2="#FFFFFF" focussize="0,0"/>
              <v:stroke color="#000000" joinstyle="miter"/>
              <v:imagedata o:title=""/>
              <o:lock v:ext="edit" aspectratio="f"/>
              <v:textbox>
                <w:txbxContent>
                  <w:p>
                    <w:r>
                      <w:rPr>
                        <w:rFonts w:hint="eastAsia"/>
                      </w:rPr>
                      <w:t>接件并当场（或5个工作日）作出是否受理决定</w:t>
                    </w:r>
                  </w:p>
                  <w:p/>
                </w:txbxContent>
              </v:textbox>
            </v:shape>
            <v:rect id="Rectangle 435" o:spid="_x0000_s1039" o:spt="1" style="position:absolute;left:7272;top:4470;height:796;width:2094;" fillcolor="#FFFFFF" filled="t" stroked="t" coordsize="21600,21600">
              <v:path/>
              <v:fill on="t" color2="#FFFFFF" focussize="0,0"/>
              <v:stroke color="#000000" joinstyle="miter"/>
              <v:imagedata o:title=""/>
              <o:lock v:ext="edit" aspectratio="f"/>
              <v:textbox>
                <w:txbxContent>
                  <w:p>
                    <w:pPr>
                      <w:jc w:val="center"/>
                    </w:pPr>
                    <w:r>
                      <w:rPr>
                        <w:rFonts w:hint="eastAsia"/>
                      </w:rPr>
                      <w:t>申请人补全材料</w:t>
                    </w:r>
                  </w:p>
                  <w:p/>
                </w:txbxContent>
              </v:textbox>
            </v:rect>
            <v:rect id="Rectangle 436" o:spid="_x0000_s1040" o:spt="1" style="position:absolute;left:4839;top:5537;height:500;width:5362;" fillcolor="#FFFFFF" filled="t" stroked="t" coordsize="21600,21600">
              <v:path/>
              <v:fill on="t" color2="#FFFFFF" focussize="0,0"/>
              <v:stroke color="#000000" joinstyle="miter"/>
              <v:imagedata o:title=""/>
              <o:lock v:ext="edit" aspectratio="f"/>
              <v:textbox>
                <w:txbxContent>
                  <w:p>
                    <w:r>
                      <w:rPr>
                        <w:rFonts w:hint="eastAsia"/>
                      </w:rPr>
                      <w:t>材料不全或不符合法定形式的，一次性告知补正材料</w:t>
                    </w:r>
                  </w:p>
                  <w:p/>
                </w:txbxContent>
              </v:textbox>
            </v:rect>
            <v:rect id="Rectangle 437" o:spid="_x0000_s1041" o:spt="1" style="position:absolute;left:4839;top:6389;height:906;width:5362;" fillcolor="#FFFFFF" filled="t" stroked="t" coordsize="21600,21600">
              <v:path/>
              <v:fill on="t" color2="#FFFFFF" focussize="0,0"/>
              <v:stroke color="#000000" joinstyle="miter"/>
              <v:imagedata o:title=""/>
              <o:lock v:ext="edit" aspectratio="f"/>
              <v:textbox>
                <w:txbxContent>
                  <w:p>
                    <w:r>
                      <w:rPr>
                        <w:rFonts w:hint="eastAsia"/>
                      </w:rPr>
                      <w:t>依法不予受理的，作出不予受理决定，出具不予受理通知书</w:t>
                    </w:r>
                  </w:p>
                  <w:p/>
                </w:txbxContent>
              </v:textbox>
            </v:rect>
            <v:rect id="Rectangle 438" o:spid="_x0000_s1042" o:spt="1" style="position:absolute;left:3433;top:8049;height:603;width:4104;" fillcolor="#FFFFFF" filled="t" stroked="t" coordsize="21600,21600">
              <v:path/>
              <v:fill on="t" color2="#FFFFFF" focussize="0,0"/>
              <v:stroke color="#000000" joinstyle="miter"/>
              <v:imagedata o:title=""/>
              <o:lock v:ext="edit" aspectratio="f"/>
              <v:textbox>
                <w:txbxContent>
                  <w:p>
                    <w:pPr>
                      <w:jc w:val="center"/>
                    </w:pPr>
                    <w:r>
                      <w:rPr>
                        <w:rFonts w:hint="eastAsia"/>
                      </w:rPr>
                      <w:t>依法应予受理，出具受理单</w:t>
                    </w:r>
                  </w:p>
                  <w:p/>
                </w:txbxContent>
              </v:textbox>
            </v:rect>
            <v:rect id="Rectangle 439" o:spid="_x0000_s1043" o:spt="1" style="position:absolute;left:3434;top:9089;height:534;width:4252;" fillcolor="#FFFFFF" filled="t" stroked="t" coordsize="21600,21600">
              <v:path/>
              <v:fill on="t" color2="#FFFFFF" focussize="0,0"/>
              <v:stroke color="#000000" joinstyle="miter"/>
              <v:imagedata o:title=""/>
              <o:lock v:ext="edit" aspectratio="f"/>
              <v:textbox>
                <w:txbxContent>
                  <w:p>
                    <w:pPr>
                      <w:jc w:val="center"/>
                    </w:pPr>
                    <w:r>
                      <w:rPr>
                        <w:rFonts w:hint="eastAsia"/>
                      </w:rPr>
                      <w:t>审查报批</w:t>
                    </w:r>
                  </w:p>
                  <w:p/>
                </w:txbxContent>
              </v:textbox>
            </v:rect>
            <v:rect id="Rectangle 440" o:spid="_x0000_s1044" o:spt="1" style="position:absolute;left:1771;top:3270;height:1423;width:2894;" fillcolor="#FFFFFF" filled="t" stroked="t" coordsize="21600,21600">
              <v:path/>
              <v:fill on="t" color2="#FFFFFF" focussize="0,0"/>
              <v:stroke color="#000000" joinstyle="miter"/>
              <v:imagedata o:title=""/>
              <o:lock v:ext="edit" aspectratio="f"/>
              <v:textbox>
                <w:txbxContent>
                  <w:p>
                    <w:pPr>
                      <w:spacing w:before="34"/>
                      <w:rPr>
                        <w:rFonts w:ascii="宋体" w:hAnsi="宋体" w:cs="宋体"/>
                        <w:szCs w:val="21"/>
                      </w:rPr>
                    </w:pPr>
                    <w:r>
                      <w:rPr>
                        <w:rFonts w:hint="eastAsia" w:ascii="宋体" w:hAnsi="宋体" w:cs="宋体"/>
                        <w:szCs w:val="21"/>
                      </w:rPr>
                      <w:t>申请人以现场、邮寄、国家外汇管理局政务服务网上办理系统等提交材料提出书面申请，并提交材料</w:t>
                    </w:r>
                  </w:p>
                  <w:p/>
                </w:txbxContent>
              </v:textbox>
            </v:rect>
            <v:rect id="Rectangle 441" o:spid="_x0000_s1045" o:spt="1" style="position:absolute;left:3433;top:10528;height:1417;width:1747;" fillcolor="#FFFFFF" filled="t" stroked="t" coordsize="21600,21600">
              <v:path/>
              <v:fill on="t" color2="#FFFFFF" focussize="0,0"/>
              <v:stroke color="#000000" joinstyle="miter"/>
              <v:imagedata o:title=""/>
              <o:lock v:ext="edit" aspectratio="f"/>
              <v:textbox>
                <w:txbxContent>
                  <w:p>
                    <w:r>
                      <w:rPr>
                        <w:rFonts w:hint="eastAsia"/>
                      </w:rPr>
                      <w:t>予以许可，向申请人出具批准文件或备案通知书</w:t>
                    </w:r>
                  </w:p>
                  <w:p/>
                </w:txbxContent>
              </v:textbox>
            </v:rect>
            <v:rect id="Rectangle 442" o:spid="_x0000_s1046" o:spt="1" style="position:absolute;left:5790;top:10528;height:1417;width:1747;" fillcolor="#FFFFFF" filled="t" stroked="t" coordsize="21600,21600">
              <v:path/>
              <v:fill on="t" color2="#FFFFFF" focussize="0,0"/>
              <v:stroke color="#000000" joinstyle="miter"/>
              <v:imagedata o:title=""/>
              <o:lock v:ext="edit" aspectratio="f"/>
              <v:textbox>
                <w:txbxContent>
                  <w:p>
                    <w:r>
                      <w:rPr>
                        <w:rFonts w:hint="eastAsia"/>
                      </w:rPr>
                      <w:t>依法作出不予许可决定，并送达</w:t>
                    </w:r>
                  </w:p>
                  <w:p/>
                </w:txbxContent>
              </v:textbox>
            </v:rect>
          </v:group>
        </w:pict>
      </w:r>
    </w:p>
    <w:sectPr>
      <w:footerReference r:id="rId5"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auto"/>
    <w:pitch w:val="default"/>
    <w:sig w:usb0="00000001" w:usb1="080E0000" w:usb2="00000000" w:usb3="00000000" w:csb0="00040000" w:csb1="00000000"/>
  </w:font>
  <w:font w:name="ˎ̥">
    <w:altName w:val="Segoe Print"/>
    <w:panose1 w:val="00000000000000000000"/>
    <w:charset w:val="00"/>
    <w:family w:val="auto"/>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fldChar w:fldCharType="begin"/>
    </w:r>
    <w:r>
      <w:instrText xml:space="preserve"> PAGE   \* MERGEFORMAT </w:instrText>
    </w:r>
    <w:r>
      <w:fldChar w:fldCharType="separate"/>
    </w:r>
    <w:r>
      <w:rPr>
        <w:lang w:val="zh-CN"/>
      </w:rPr>
      <w:t>1</w:t>
    </w:r>
    <w:r>
      <w:rPr>
        <w:lang w:val="zh-CN"/>
      </w:rPr>
      <w:fldChar w:fldCharType="end"/>
    </w:r>
  </w:p>
  <w:p>
    <w:pPr>
      <w:pStyle w:val="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fldChar w:fldCharType="begin"/>
    </w:r>
    <w:r>
      <w:instrText xml:space="preserve"> PAGE   \* MERGEFORMAT </w:instrText>
    </w:r>
    <w:r>
      <w:fldChar w:fldCharType="separate"/>
    </w:r>
    <w:r>
      <w:rPr>
        <w:lang w:val="zh-CN"/>
      </w:rPr>
      <w:t>7</w:t>
    </w:r>
    <w:r>
      <w:rPr>
        <w:lang w:val="zh-CN"/>
      </w:rPr>
      <w:fldChar w:fldCharType="end"/>
    </w:r>
  </w:p>
  <w:p>
    <w:pPr>
      <w:pStyle w:val="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fldChar w:fldCharType="begin"/>
    </w:r>
    <w:r>
      <w:instrText xml:space="preserve">PAGE   \* MERGEFORMAT</w:instrText>
    </w:r>
    <w:r>
      <w:fldChar w:fldCharType="separate"/>
    </w:r>
    <w:r>
      <w:rPr>
        <w:lang w:val="zh-CN"/>
      </w:rPr>
      <w:t>8</w:t>
    </w:r>
    <w:r>
      <w:fldChar w:fldCharType="end"/>
    </w:r>
  </w:p>
  <w:p>
    <w:pPr>
      <w:pStyle w:val="9"/>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2"/>
  </w:compat>
  <w:rsids>
    <w:rsidRoot w:val="00AB131E"/>
    <w:rsid w:val="00003372"/>
    <w:rsid w:val="00022191"/>
    <w:rsid w:val="00023783"/>
    <w:rsid w:val="00041960"/>
    <w:rsid w:val="00042B58"/>
    <w:rsid w:val="00053278"/>
    <w:rsid w:val="00054B00"/>
    <w:rsid w:val="00055270"/>
    <w:rsid w:val="00057F76"/>
    <w:rsid w:val="0006560A"/>
    <w:rsid w:val="00072F8A"/>
    <w:rsid w:val="000750C8"/>
    <w:rsid w:val="00080630"/>
    <w:rsid w:val="00084C01"/>
    <w:rsid w:val="00091661"/>
    <w:rsid w:val="00092D53"/>
    <w:rsid w:val="00096CBB"/>
    <w:rsid w:val="00097F7B"/>
    <w:rsid w:val="000A63A6"/>
    <w:rsid w:val="000B6901"/>
    <w:rsid w:val="000B728B"/>
    <w:rsid w:val="000C15B3"/>
    <w:rsid w:val="000C2B33"/>
    <w:rsid w:val="000C6C10"/>
    <w:rsid w:val="000D1995"/>
    <w:rsid w:val="000D7478"/>
    <w:rsid w:val="000E4F85"/>
    <w:rsid w:val="0012271F"/>
    <w:rsid w:val="00127A16"/>
    <w:rsid w:val="00130519"/>
    <w:rsid w:val="00135BEE"/>
    <w:rsid w:val="0014667A"/>
    <w:rsid w:val="00154B58"/>
    <w:rsid w:val="00157C64"/>
    <w:rsid w:val="00157E81"/>
    <w:rsid w:val="00170126"/>
    <w:rsid w:val="00177059"/>
    <w:rsid w:val="00181D3E"/>
    <w:rsid w:val="0018376C"/>
    <w:rsid w:val="00193175"/>
    <w:rsid w:val="00196FAE"/>
    <w:rsid w:val="001A3E49"/>
    <w:rsid w:val="001A72AA"/>
    <w:rsid w:val="001B1E2C"/>
    <w:rsid w:val="001C44C7"/>
    <w:rsid w:val="001D65A2"/>
    <w:rsid w:val="001E1407"/>
    <w:rsid w:val="001F4BD4"/>
    <w:rsid w:val="001F6AF6"/>
    <w:rsid w:val="001F7297"/>
    <w:rsid w:val="00205D07"/>
    <w:rsid w:val="00212F39"/>
    <w:rsid w:val="00217116"/>
    <w:rsid w:val="00231EED"/>
    <w:rsid w:val="00233841"/>
    <w:rsid w:val="00235F24"/>
    <w:rsid w:val="002417D2"/>
    <w:rsid w:val="00241FE8"/>
    <w:rsid w:val="0024527E"/>
    <w:rsid w:val="00253F7B"/>
    <w:rsid w:val="00263773"/>
    <w:rsid w:val="00263B1F"/>
    <w:rsid w:val="00272DF7"/>
    <w:rsid w:val="00291C17"/>
    <w:rsid w:val="0029313A"/>
    <w:rsid w:val="002B0B1C"/>
    <w:rsid w:val="002B598D"/>
    <w:rsid w:val="002B61C1"/>
    <w:rsid w:val="002C3539"/>
    <w:rsid w:val="002C3A40"/>
    <w:rsid w:val="002D2A8C"/>
    <w:rsid w:val="002D4121"/>
    <w:rsid w:val="002E1323"/>
    <w:rsid w:val="002E6E2B"/>
    <w:rsid w:val="002F3868"/>
    <w:rsid w:val="00302119"/>
    <w:rsid w:val="00302E87"/>
    <w:rsid w:val="00310261"/>
    <w:rsid w:val="00325D3D"/>
    <w:rsid w:val="003407D1"/>
    <w:rsid w:val="00343044"/>
    <w:rsid w:val="00344107"/>
    <w:rsid w:val="00344B01"/>
    <w:rsid w:val="00353AC4"/>
    <w:rsid w:val="00356BC8"/>
    <w:rsid w:val="003616B4"/>
    <w:rsid w:val="003642BD"/>
    <w:rsid w:val="003A57B2"/>
    <w:rsid w:val="003C7132"/>
    <w:rsid w:val="003D77A5"/>
    <w:rsid w:val="003E2E47"/>
    <w:rsid w:val="003E6BF6"/>
    <w:rsid w:val="003F221D"/>
    <w:rsid w:val="003F3097"/>
    <w:rsid w:val="00402AE8"/>
    <w:rsid w:val="00405FE6"/>
    <w:rsid w:val="004105BC"/>
    <w:rsid w:val="00421C27"/>
    <w:rsid w:val="00440A1F"/>
    <w:rsid w:val="00441A2C"/>
    <w:rsid w:val="00443603"/>
    <w:rsid w:val="00443604"/>
    <w:rsid w:val="004501EA"/>
    <w:rsid w:val="00450FD3"/>
    <w:rsid w:val="00460458"/>
    <w:rsid w:val="0046792D"/>
    <w:rsid w:val="004767DF"/>
    <w:rsid w:val="00493CCC"/>
    <w:rsid w:val="004967FB"/>
    <w:rsid w:val="004A0218"/>
    <w:rsid w:val="004A2436"/>
    <w:rsid w:val="004A2BF8"/>
    <w:rsid w:val="004A7840"/>
    <w:rsid w:val="004B15B6"/>
    <w:rsid w:val="004B545A"/>
    <w:rsid w:val="004B5CA9"/>
    <w:rsid w:val="004B7E80"/>
    <w:rsid w:val="004C42A8"/>
    <w:rsid w:val="004C457E"/>
    <w:rsid w:val="004C48D5"/>
    <w:rsid w:val="004D03B7"/>
    <w:rsid w:val="004D1436"/>
    <w:rsid w:val="004D57AE"/>
    <w:rsid w:val="005056D4"/>
    <w:rsid w:val="00526B2B"/>
    <w:rsid w:val="0053236D"/>
    <w:rsid w:val="005362B0"/>
    <w:rsid w:val="00540FD8"/>
    <w:rsid w:val="00542447"/>
    <w:rsid w:val="00557EB9"/>
    <w:rsid w:val="00564312"/>
    <w:rsid w:val="005A2981"/>
    <w:rsid w:val="005B392B"/>
    <w:rsid w:val="005C6937"/>
    <w:rsid w:val="005C7F02"/>
    <w:rsid w:val="005F0A86"/>
    <w:rsid w:val="005F144A"/>
    <w:rsid w:val="005F1C00"/>
    <w:rsid w:val="0061621E"/>
    <w:rsid w:val="00617A05"/>
    <w:rsid w:val="00630AA8"/>
    <w:rsid w:val="00630B2E"/>
    <w:rsid w:val="00632EDB"/>
    <w:rsid w:val="00643D2A"/>
    <w:rsid w:val="00645E08"/>
    <w:rsid w:val="006476F4"/>
    <w:rsid w:val="00664E11"/>
    <w:rsid w:val="00673B30"/>
    <w:rsid w:val="00696659"/>
    <w:rsid w:val="00696E5D"/>
    <w:rsid w:val="006A22A9"/>
    <w:rsid w:val="006B5B86"/>
    <w:rsid w:val="006C5908"/>
    <w:rsid w:val="006C633E"/>
    <w:rsid w:val="006D56AB"/>
    <w:rsid w:val="006D734F"/>
    <w:rsid w:val="006E043F"/>
    <w:rsid w:val="006E4695"/>
    <w:rsid w:val="006E4B8B"/>
    <w:rsid w:val="006E5901"/>
    <w:rsid w:val="0071091C"/>
    <w:rsid w:val="00714961"/>
    <w:rsid w:val="007166B6"/>
    <w:rsid w:val="00734297"/>
    <w:rsid w:val="00744BD5"/>
    <w:rsid w:val="00745748"/>
    <w:rsid w:val="00750E36"/>
    <w:rsid w:val="00753CB0"/>
    <w:rsid w:val="00755460"/>
    <w:rsid w:val="00761FB7"/>
    <w:rsid w:val="00762107"/>
    <w:rsid w:val="00764CB9"/>
    <w:rsid w:val="00765B05"/>
    <w:rsid w:val="00767972"/>
    <w:rsid w:val="007724B0"/>
    <w:rsid w:val="0077269F"/>
    <w:rsid w:val="0077770E"/>
    <w:rsid w:val="00785F45"/>
    <w:rsid w:val="00791CDD"/>
    <w:rsid w:val="0079240F"/>
    <w:rsid w:val="007A2780"/>
    <w:rsid w:val="007A68EA"/>
    <w:rsid w:val="007B06FC"/>
    <w:rsid w:val="007B0FEF"/>
    <w:rsid w:val="007B2DB5"/>
    <w:rsid w:val="007D2C11"/>
    <w:rsid w:val="007D6171"/>
    <w:rsid w:val="007D69EA"/>
    <w:rsid w:val="007E2C7B"/>
    <w:rsid w:val="007E411B"/>
    <w:rsid w:val="007F0863"/>
    <w:rsid w:val="007F2F3B"/>
    <w:rsid w:val="00802307"/>
    <w:rsid w:val="0082168E"/>
    <w:rsid w:val="00821968"/>
    <w:rsid w:val="008471B6"/>
    <w:rsid w:val="00851521"/>
    <w:rsid w:val="0085686A"/>
    <w:rsid w:val="00860878"/>
    <w:rsid w:val="0087303B"/>
    <w:rsid w:val="008731FF"/>
    <w:rsid w:val="0088294A"/>
    <w:rsid w:val="0089282A"/>
    <w:rsid w:val="008A4538"/>
    <w:rsid w:val="008A704B"/>
    <w:rsid w:val="008B08D2"/>
    <w:rsid w:val="008B4EE5"/>
    <w:rsid w:val="008B5807"/>
    <w:rsid w:val="008C3178"/>
    <w:rsid w:val="008D5CA5"/>
    <w:rsid w:val="008D5FA0"/>
    <w:rsid w:val="008E2D38"/>
    <w:rsid w:val="008F5724"/>
    <w:rsid w:val="008F5900"/>
    <w:rsid w:val="00902633"/>
    <w:rsid w:val="009027D8"/>
    <w:rsid w:val="0090372F"/>
    <w:rsid w:val="00911E27"/>
    <w:rsid w:val="00911E9A"/>
    <w:rsid w:val="0092129A"/>
    <w:rsid w:val="00925BB2"/>
    <w:rsid w:val="00930C8C"/>
    <w:rsid w:val="009360EA"/>
    <w:rsid w:val="00947C57"/>
    <w:rsid w:val="00951149"/>
    <w:rsid w:val="00960EDB"/>
    <w:rsid w:val="009622DB"/>
    <w:rsid w:val="009664BC"/>
    <w:rsid w:val="009717A5"/>
    <w:rsid w:val="00980F02"/>
    <w:rsid w:val="00991B77"/>
    <w:rsid w:val="00997523"/>
    <w:rsid w:val="009A0C5D"/>
    <w:rsid w:val="009C4672"/>
    <w:rsid w:val="009C491B"/>
    <w:rsid w:val="009D0911"/>
    <w:rsid w:val="009D24F8"/>
    <w:rsid w:val="009D688C"/>
    <w:rsid w:val="009F7A36"/>
    <w:rsid w:val="00A249C2"/>
    <w:rsid w:val="00A24FAB"/>
    <w:rsid w:val="00A301E7"/>
    <w:rsid w:val="00A42E69"/>
    <w:rsid w:val="00A45CA7"/>
    <w:rsid w:val="00A51415"/>
    <w:rsid w:val="00A6014E"/>
    <w:rsid w:val="00A60356"/>
    <w:rsid w:val="00A81DF1"/>
    <w:rsid w:val="00A90EF3"/>
    <w:rsid w:val="00AA7717"/>
    <w:rsid w:val="00AB131E"/>
    <w:rsid w:val="00AB644F"/>
    <w:rsid w:val="00AC3F5E"/>
    <w:rsid w:val="00AD57D5"/>
    <w:rsid w:val="00AE7ACF"/>
    <w:rsid w:val="00B06409"/>
    <w:rsid w:val="00B17D66"/>
    <w:rsid w:val="00B31FD9"/>
    <w:rsid w:val="00B35D3A"/>
    <w:rsid w:val="00B422F1"/>
    <w:rsid w:val="00B71531"/>
    <w:rsid w:val="00B7456C"/>
    <w:rsid w:val="00B84131"/>
    <w:rsid w:val="00B8630E"/>
    <w:rsid w:val="00B931F4"/>
    <w:rsid w:val="00B95573"/>
    <w:rsid w:val="00B96395"/>
    <w:rsid w:val="00BA2AF8"/>
    <w:rsid w:val="00BB2650"/>
    <w:rsid w:val="00BB5BDC"/>
    <w:rsid w:val="00BB7B76"/>
    <w:rsid w:val="00BD233D"/>
    <w:rsid w:val="00BE2F29"/>
    <w:rsid w:val="00BF4EF0"/>
    <w:rsid w:val="00C02E44"/>
    <w:rsid w:val="00C0337D"/>
    <w:rsid w:val="00C147D2"/>
    <w:rsid w:val="00C2075F"/>
    <w:rsid w:val="00C23799"/>
    <w:rsid w:val="00C274C9"/>
    <w:rsid w:val="00C31E02"/>
    <w:rsid w:val="00C54291"/>
    <w:rsid w:val="00C672C3"/>
    <w:rsid w:val="00C712B2"/>
    <w:rsid w:val="00C94325"/>
    <w:rsid w:val="00C97FED"/>
    <w:rsid w:val="00CA1DBB"/>
    <w:rsid w:val="00CA2622"/>
    <w:rsid w:val="00CA7F2C"/>
    <w:rsid w:val="00CA7FF8"/>
    <w:rsid w:val="00CB1ABB"/>
    <w:rsid w:val="00CB5DE7"/>
    <w:rsid w:val="00CC068D"/>
    <w:rsid w:val="00CC4922"/>
    <w:rsid w:val="00CC68CC"/>
    <w:rsid w:val="00CD1FF6"/>
    <w:rsid w:val="00CE25C7"/>
    <w:rsid w:val="00CE3335"/>
    <w:rsid w:val="00CE4849"/>
    <w:rsid w:val="00CE5C8E"/>
    <w:rsid w:val="00CE5F49"/>
    <w:rsid w:val="00D003EC"/>
    <w:rsid w:val="00D01626"/>
    <w:rsid w:val="00D02F0F"/>
    <w:rsid w:val="00D12296"/>
    <w:rsid w:val="00D33A4D"/>
    <w:rsid w:val="00D33F76"/>
    <w:rsid w:val="00D41F5E"/>
    <w:rsid w:val="00D43DC0"/>
    <w:rsid w:val="00D54E56"/>
    <w:rsid w:val="00D6407D"/>
    <w:rsid w:val="00D93E78"/>
    <w:rsid w:val="00DC6E91"/>
    <w:rsid w:val="00DC7514"/>
    <w:rsid w:val="00DD0902"/>
    <w:rsid w:val="00DD3845"/>
    <w:rsid w:val="00E1687A"/>
    <w:rsid w:val="00E20A2E"/>
    <w:rsid w:val="00E277DE"/>
    <w:rsid w:val="00E27EE9"/>
    <w:rsid w:val="00E3239D"/>
    <w:rsid w:val="00E3254B"/>
    <w:rsid w:val="00E3439B"/>
    <w:rsid w:val="00E42C5F"/>
    <w:rsid w:val="00E65A1B"/>
    <w:rsid w:val="00E72F1F"/>
    <w:rsid w:val="00E841A2"/>
    <w:rsid w:val="00E84B03"/>
    <w:rsid w:val="00E934AB"/>
    <w:rsid w:val="00EA06AC"/>
    <w:rsid w:val="00EA08BF"/>
    <w:rsid w:val="00EA24FB"/>
    <w:rsid w:val="00EB3204"/>
    <w:rsid w:val="00EB50BA"/>
    <w:rsid w:val="00EC3D33"/>
    <w:rsid w:val="00ED302A"/>
    <w:rsid w:val="00ED3A42"/>
    <w:rsid w:val="00ED79A0"/>
    <w:rsid w:val="00EE02BC"/>
    <w:rsid w:val="00EE6970"/>
    <w:rsid w:val="00EF03A9"/>
    <w:rsid w:val="00EF38D0"/>
    <w:rsid w:val="00EF3DDF"/>
    <w:rsid w:val="00EF4A8C"/>
    <w:rsid w:val="00F11106"/>
    <w:rsid w:val="00F2678C"/>
    <w:rsid w:val="00F27B38"/>
    <w:rsid w:val="00F40278"/>
    <w:rsid w:val="00F41832"/>
    <w:rsid w:val="00F56988"/>
    <w:rsid w:val="00F620FB"/>
    <w:rsid w:val="00F6571F"/>
    <w:rsid w:val="00F72E5A"/>
    <w:rsid w:val="00F815BC"/>
    <w:rsid w:val="00F8687E"/>
    <w:rsid w:val="00F918EC"/>
    <w:rsid w:val="00F93331"/>
    <w:rsid w:val="00F95549"/>
    <w:rsid w:val="00FA1E24"/>
    <w:rsid w:val="00FA24FB"/>
    <w:rsid w:val="00FA632B"/>
    <w:rsid w:val="00FB38EA"/>
    <w:rsid w:val="00FB5E0F"/>
    <w:rsid w:val="00FB6AFF"/>
    <w:rsid w:val="00FC4D8F"/>
    <w:rsid w:val="00FD06D3"/>
    <w:rsid w:val="00FE3157"/>
    <w:rsid w:val="00FE6865"/>
    <w:rsid w:val="00FE6993"/>
    <w:rsid w:val="068F6251"/>
    <w:rsid w:val="1AA648FB"/>
    <w:rsid w:val="1DED52EB"/>
    <w:rsid w:val="26CB0561"/>
    <w:rsid w:val="2AD478D0"/>
    <w:rsid w:val="2B853B65"/>
    <w:rsid w:val="374F0388"/>
    <w:rsid w:val="38022DE1"/>
    <w:rsid w:val="3F703737"/>
    <w:rsid w:val="45AB301D"/>
    <w:rsid w:val="4F852F6B"/>
    <w:rsid w:val="58025B5D"/>
    <w:rsid w:val="66325289"/>
    <w:rsid w:val="66D40C15"/>
    <w:rsid w:val="68BE6441"/>
    <w:rsid w:val="68DC08E1"/>
    <w:rsid w:val="756E4295"/>
    <w:rsid w:val="7A3F0D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t" stroke="t">
      <v:fill type="gradient" on="t" angle="90" focussize="0f,0f" focusposition="0f,0f">
        <o:fill type="gradientUnscaled" v:ext="backwardCompatible"/>
      </v:fill>
      <v:stroke weight="1.25pt" color="#739CC3"/>
    </o:shapedefaults>
    <o:shapelayout v:ext="edit">
      <o:idmap v:ext="edit" data="1"/>
      <o:rules v:ext="edit">
        <o:r id="V:Rule1" type="connector" idref="#Straight Connector 424"/>
        <o:r id="V:Rule2" type="connector" idref="#Straight Connector 425"/>
        <o:r id="V:Rule3" type="connector" idref="#Straight Connector 426"/>
        <o:r id="V:Rule4" type="connector" idref="#Straight Connector 427"/>
        <o:r id="V:Rule5" type="connector" idref="#Straight Connector 428"/>
        <o:r id="V:Rule6" type="connector" idref="#Straight Connector 429"/>
        <o:r id="V:Rule7" type="connector" idref="#Straight Connector 430"/>
        <o:r id="V:Rule8" type="connector" idref="#Straight Connector 431"/>
        <o:r id="V:Rule9" type="connector" idref="#Straight Connector 432"/>
        <o:r id="V:Rule10" type="connector" idref="#Straight Connector 433"/>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0" w:semiHidden="0" w:name="footnote reference"/>
    <w:lsdException w:qFormat="1" w:uiPriority="0"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iPriority="0" w:semiHidden="0"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paragraph" w:styleId="2">
    <w:name w:val="heading 1"/>
    <w:basedOn w:val="1"/>
    <w:next w:val="1"/>
    <w:link w:val="33"/>
    <w:qFormat/>
    <w:uiPriority w:val="9"/>
    <w:pPr>
      <w:ind w:firstLine="600" w:firstLineChars="200"/>
      <w:outlineLvl w:val="0"/>
    </w:pPr>
    <w:rPr>
      <w:rFonts w:ascii="黑体" w:hAnsi="黑体" w:eastAsia="黑体" w:cs="宋体"/>
      <w:color w:val="000000"/>
      <w:kern w:val="0"/>
      <w:sz w:val="30"/>
      <w:szCs w:val="30"/>
    </w:rPr>
  </w:style>
  <w:style w:type="paragraph" w:styleId="3">
    <w:name w:val="heading 2"/>
    <w:basedOn w:val="1"/>
    <w:next w:val="1"/>
    <w:link w:val="34"/>
    <w:qFormat/>
    <w:uiPriority w:val="9"/>
    <w:pPr>
      <w:keepNext/>
      <w:keepLines/>
      <w:spacing w:before="260" w:after="260" w:line="416" w:lineRule="auto"/>
      <w:outlineLvl w:val="1"/>
    </w:pPr>
    <w:rPr>
      <w:rFonts w:ascii="Cambria" w:hAnsi="Cambria" w:cs="Times New Roman"/>
      <w:b/>
      <w:bCs/>
      <w:sz w:val="32"/>
      <w:szCs w:val="32"/>
    </w:rPr>
  </w:style>
  <w:style w:type="paragraph" w:styleId="4">
    <w:name w:val="heading 3"/>
    <w:basedOn w:val="1"/>
    <w:next w:val="1"/>
    <w:link w:val="35"/>
    <w:qFormat/>
    <w:uiPriority w:val="9"/>
    <w:pPr>
      <w:ind w:right="300"/>
      <w:outlineLvl w:val="2"/>
    </w:pPr>
    <w:rPr>
      <w:rFonts w:ascii="仿宋_GB2312" w:eastAsia="仿宋_GB2312" w:cs="Times New Roman"/>
      <w:sz w:val="30"/>
      <w:szCs w:val="30"/>
    </w:rPr>
  </w:style>
  <w:style w:type="character" w:default="1" w:styleId="16">
    <w:name w:val="Default Paragraph Font"/>
    <w:semiHidden/>
    <w:unhideWhenUsed/>
    <w:qFormat/>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styleId="5">
    <w:name w:val="Document Map"/>
    <w:basedOn w:val="1"/>
    <w:link w:val="39"/>
    <w:unhideWhenUsed/>
    <w:qFormat/>
    <w:uiPriority w:val="0"/>
    <w:rPr>
      <w:rFonts w:ascii="宋体"/>
      <w:sz w:val="18"/>
      <w:szCs w:val="18"/>
    </w:rPr>
  </w:style>
  <w:style w:type="paragraph" w:styleId="6">
    <w:name w:val="annotation text"/>
    <w:basedOn w:val="1"/>
    <w:link w:val="32"/>
    <w:unhideWhenUsed/>
    <w:qFormat/>
    <w:uiPriority w:val="99"/>
    <w:pPr>
      <w:jc w:val="left"/>
    </w:pPr>
    <w:rPr>
      <w:rFonts w:cs="Times New Roman"/>
    </w:rPr>
  </w:style>
  <w:style w:type="paragraph" w:styleId="7">
    <w:name w:val="Body Text"/>
    <w:basedOn w:val="1"/>
    <w:link w:val="44"/>
    <w:qFormat/>
    <w:uiPriority w:val="1"/>
    <w:pPr>
      <w:spacing w:before="190"/>
      <w:ind w:left="720"/>
      <w:jc w:val="left"/>
    </w:pPr>
    <w:rPr>
      <w:rFonts w:ascii="仿宋_GB2312" w:hAnsi="仿宋_GB2312" w:eastAsia="仿宋_GB2312" w:cs="Times New Roman"/>
      <w:kern w:val="0"/>
      <w:sz w:val="30"/>
      <w:szCs w:val="30"/>
      <w:lang w:eastAsia="en-US"/>
    </w:rPr>
  </w:style>
  <w:style w:type="paragraph" w:styleId="8">
    <w:name w:val="Balloon Text"/>
    <w:basedOn w:val="1"/>
    <w:link w:val="30"/>
    <w:unhideWhenUsed/>
    <w:qFormat/>
    <w:uiPriority w:val="0"/>
    <w:rPr>
      <w:sz w:val="18"/>
      <w:szCs w:val="18"/>
    </w:rPr>
  </w:style>
  <w:style w:type="paragraph" w:styleId="9">
    <w:name w:val="footer"/>
    <w:basedOn w:val="1"/>
    <w:link w:val="29"/>
    <w:unhideWhenUsed/>
    <w:qFormat/>
    <w:uiPriority w:val="99"/>
    <w:pPr>
      <w:tabs>
        <w:tab w:val="center" w:pos="4153"/>
        <w:tab w:val="right" w:pos="8306"/>
      </w:tabs>
      <w:snapToGrid w:val="0"/>
      <w:jc w:val="left"/>
    </w:pPr>
    <w:rPr>
      <w:sz w:val="18"/>
      <w:szCs w:val="18"/>
    </w:rPr>
  </w:style>
  <w:style w:type="paragraph" w:styleId="10">
    <w:name w:val="header"/>
    <w:basedOn w:val="1"/>
    <w:link w:val="28"/>
    <w:unhideWhenUsed/>
    <w:qFormat/>
    <w:uiPriority w:val="99"/>
    <w:pPr>
      <w:pBdr>
        <w:bottom w:val="single" w:color="auto" w:sz="6" w:space="1"/>
      </w:pBdr>
      <w:tabs>
        <w:tab w:val="center" w:pos="4153"/>
        <w:tab w:val="right" w:pos="8306"/>
      </w:tabs>
      <w:snapToGrid w:val="0"/>
      <w:jc w:val="center"/>
    </w:pPr>
    <w:rPr>
      <w:sz w:val="18"/>
      <w:szCs w:val="18"/>
    </w:rPr>
  </w:style>
  <w:style w:type="paragraph" w:styleId="11">
    <w:name w:val="footnote text"/>
    <w:basedOn w:val="1"/>
    <w:link w:val="37"/>
    <w:semiHidden/>
    <w:qFormat/>
    <w:uiPriority w:val="0"/>
    <w:pPr>
      <w:snapToGrid w:val="0"/>
      <w:jc w:val="left"/>
    </w:pPr>
    <w:rPr>
      <w:rFonts w:ascii="Times New Roman" w:hAnsi="Times New Roman"/>
      <w:sz w:val="18"/>
      <w:szCs w:val="18"/>
    </w:rPr>
  </w:style>
  <w:style w:type="paragraph" w:styleId="12">
    <w:name w:val="HTML Preformatted"/>
    <w:basedOn w:val="1"/>
    <w:link w:val="31"/>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paragraph" w:styleId="13">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table" w:styleId="15">
    <w:name w:val="Table Grid"/>
    <w:basedOn w:val="14"/>
    <w:qFormat/>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17">
    <w:name w:val="Hyperlink"/>
    <w:basedOn w:val="16"/>
    <w:unhideWhenUsed/>
    <w:qFormat/>
    <w:uiPriority w:val="99"/>
    <w:rPr>
      <w:rFonts w:hint="default" w:ascii="ˎ̥" w:hAnsi="ˎ̥"/>
      <w:color w:val="0453CC"/>
      <w:sz w:val="20"/>
      <w:szCs w:val="20"/>
      <w:u w:val="none"/>
    </w:rPr>
  </w:style>
  <w:style w:type="character" w:styleId="18">
    <w:name w:val="annotation reference"/>
    <w:basedOn w:val="16"/>
    <w:unhideWhenUsed/>
    <w:qFormat/>
    <w:uiPriority w:val="0"/>
    <w:rPr>
      <w:sz w:val="21"/>
      <w:szCs w:val="21"/>
    </w:rPr>
  </w:style>
  <w:style w:type="character" w:styleId="19">
    <w:name w:val="footnote reference"/>
    <w:unhideWhenUsed/>
    <w:qFormat/>
    <w:uiPriority w:val="0"/>
    <w:rPr>
      <w:rFonts w:ascii="Times New Roman" w:hAnsi="Times New Roman" w:cs="Times New Roman"/>
      <w:vertAlign w:val="superscript"/>
    </w:rPr>
  </w:style>
  <w:style w:type="paragraph" w:customStyle="1" w:styleId="20">
    <w:name w:val="列出段落1"/>
    <w:basedOn w:val="1"/>
    <w:qFormat/>
    <w:uiPriority w:val="34"/>
    <w:pPr>
      <w:ind w:firstLine="420" w:firstLineChars="200"/>
    </w:pPr>
  </w:style>
  <w:style w:type="paragraph" w:customStyle="1" w:styleId="21">
    <w:name w:val="Default"/>
    <w:qFormat/>
    <w:uiPriority w:val="99"/>
    <w:pPr>
      <w:widowControl w:val="0"/>
      <w:autoSpaceDE w:val="0"/>
      <w:autoSpaceDN w:val="0"/>
      <w:adjustRightInd w:val="0"/>
    </w:pPr>
    <w:rPr>
      <w:rFonts w:ascii="仿宋_GB2312" w:hAnsi="Calibri" w:eastAsia="仿宋_GB2312" w:cs="仿宋_GB2312"/>
      <w:color w:val="000000"/>
      <w:sz w:val="24"/>
      <w:szCs w:val="24"/>
      <w:lang w:val="en-US" w:eastAsia="zh-CN" w:bidi="ar-SA"/>
    </w:rPr>
  </w:style>
  <w:style w:type="paragraph" w:customStyle="1" w:styleId="22">
    <w:name w:val="juzhong"/>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23">
    <w:name w:val="修订1"/>
    <w:hidden/>
    <w:semiHidden/>
    <w:qFormat/>
    <w:uiPriority w:val="99"/>
    <w:rPr>
      <w:rFonts w:ascii="Calibri" w:hAnsi="Calibri" w:eastAsia="宋体" w:cs="黑体"/>
      <w:kern w:val="2"/>
      <w:sz w:val="21"/>
      <w:szCs w:val="22"/>
      <w:lang w:val="en-US" w:eastAsia="zh-CN" w:bidi="ar-SA"/>
    </w:rPr>
  </w:style>
  <w:style w:type="paragraph" w:customStyle="1" w:styleId="24">
    <w:name w:val="列出段落11"/>
    <w:basedOn w:val="1"/>
    <w:qFormat/>
    <w:uiPriority w:val="34"/>
    <w:pPr>
      <w:ind w:firstLine="420" w:firstLineChars="200"/>
    </w:pPr>
    <w:rPr>
      <w:rFonts w:cs="Times New Roman"/>
    </w:rPr>
  </w:style>
  <w:style w:type="paragraph" w:customStyle="1" w:styleId="25">
    <w:name w:val="列出段落4"/>
    <w:basedOn w:val="1"/>
    <w:qFormat/>
    <w:uiPriority w:val="0"/>
    <w:pPr>
      <w:ind w:firstLine="200" w:firstLineChars="200"/>
    </w:pPr>
    <w:rPr>
      <w:rFonts w:cs="Times New Roman"/>
    </w:rPr>
  </w:style>
  <w:style w:type="paragraph" w:customStyle="1" w:styleId="26">
    <w:name w:val="列出段落3"/>
    <w:basedOn w:val="1"/>
    <w:qFormat/>
    <w:uiPriority w:val="0"/>
    <w:pPr>
      <w:ind w:firstLine="420" w:firstLineChars="200"/>
    </w:pPr>
    <w:rPr>
      <w:rFonts w:ascii="Times New Roman" w:hAnsi="Times New Roman" w:cs="Times New Roman"/>
      <w:szCs w:val="24"/>
    </w:rPr>
  </w:style>
  <w:style w:type="paragraph" w:customStyle="1" w:styleId="27">
    <w:name w:val="p0"/>
    <w:basedOn w:val="1"/>
    <w:qFormat/>
    <w:uiPriority w:val="0"/>
    <w:pPr>
      <w:widowControl/>
    </w:pPr>
    <w:rPr>
      <w:rFonts w:cs="宋体"/>
      <w:kern w:val="0"/>
      <w:szCs w:val="21"/>
    </w:rPr>
  </w:style>
  <w:style w:type="character" w:customStyle="1" w:styleId="28">
    <w:name w:val="页眉 Char"/>
    <w:basedOn w:val="16"/>
    <w:link w:val="10"/>
    <w:qFormat/>
    <w:uiPriority w:val="99"/>
    <w:rPr>
      <w:sz w:val="18"/>
      <w:szCs w:val="18"/>
    </w:rPr>
  </w:style>
  <w:style w:type="character" w:customStyle="1" w:styleId="29">
    <w:name w:val="页脚 Char"/>
    <w:basedOn w:val="16"/>
    <w:link w:val="9"/>
    <w:qFormat/>
    <w:uiPriority w:val="99"/>
    <w:rPr>
      <w:sz w:val="18"/>
      <w:szCs w:val="18"/>
    </w:rPr>
  </w:style>
  <w:style w:type="character" w:customStyle="1" w:styleId="30">
    <w:name w:val="批注框文本 Char"/>
    <w:basedOn w:val="16"/>
    <w:link w:val="8"/>
    <w:semiHidden/>
    <w:qFormat/>
    <w:uiPriority w:val="0"/>
    <w:rPr>
      <w:sz w:val="18"/>
      <w:szCs w:val="18"/>
    </w:rPr>
  </w:style>
  <w:style w:type="character" w:customStyle="1" w:styleId="31">
    <w:name w:val="HTML 预设格式 Char"/>
    <w:basedOn w:val="16"/>
    <w:link w:val="12"/>
    <w:qFormat/>
    <w:uiPriority w:val="99"/>
    <w:rPr>
      <w:rFonts w:ascii="宋体" w:hAnsi="宋体" w:eastAsia="宋体" w:cs="宋体"/>
      <w:kern w:val="0"/>
      <w:sz w:val="24"/>
      <w:szCs w:val="24"/>
    </w:rPr>
  </w:style>
  <w:style w:type="character" w:customStyle="1" w:styleId="32">
    <w:name w:val="批注文字 Char"/>
    <w:basedOn w:val="16"/>
    <w:link w:val="6"/>
    <w:semiHidden/>
    <w:qFormat/>
    <w:uiPriority w:val="0"/>
    <w:rPr>
      <w:rFonts w:ascii="Calibri" w:hAnsi="Calibri" w:eastAsia="宋体" w:cs="Times New Roman"/>
    </w:rPr>
  </w:style>
  <w:style w:type="character" w:customStyle="1" w:styleId="33">
    <w:name w:val="标题 1 Char"/>
    <w:basedOn w:val="16"/>
    <w:link w:val="2"/>
    <w:qFormat/>
    <w:uiPriority w:val="9"/>
    <w:rPr>
      <w:rFonts w:ascii="黑体" w:hAnsi="黑体" w:eastAsia="黑体" w:cs="宋体"/>
      <w:color w:val="000000"/>
      <w:kern w:val="0"/>
      <w:sz w:val="30"/>
      <w:szCs w:val="30"/>
    </w:rPr>
  </w:style>
  <w:style w:type="character" w:customStyle="1" w:styleId="34">
    <w:name w:val="标题 2 Char"/>
    <w:basedOn w:val="16"/>
    <w:link w:val="3"/>
    <w:qFormat/>
    <w:uiPriority w:val="0"/>
    <w:rPr>
      <w:rFonts w:ascii="Cambria" w:hAnsi="Cambria" w:eastAsia="宋体" w:cs="Times New Roman"/>
      <w:b/>
      <w:bCs/>
      <w:sz w:val="32"/>
      <w:szCs w:val="32"/>
    </w:rPr>
  </w:style>
  <w:style w:type="character" w:customStyle="1" w:styleId="35">
    <w:name w:val="标题 3 Char"/>
    <w:basedOn w:val="16"/>
    <w:link w:val="4"/>
    <w:qFormat/>
    <w:uiPriority w:val="9"/>
    <w:rPr>
      <w:rFonts w:ascii="仿宋_GB2312" w:hAnsi="Calibri" w:eastAsia="仿宋_GB2312" w:cs="Times New Roman"/>
      <w:sz w:val="30"/>
      <w:szCs w:val="30"/>
    </w:rPr>
  </w:style>
  <w:style w:type="character" w:customStyle="1" w:styleId="36">
    <w:name w:val="脚注文本 Char"/>
    <w:basedOn w:val="16"/>
    <w:semiHidden/>
    <w:qFormat/>
    <w:uiPriority w:val="99"/>
    <w:rPr>
      <w:kern w:val="2"/>
      <w:sz w:val="18"/>
      <w:szCs w:val="18"/>
    </w:rPr>
  </w:style>
  <w:style w:type="character" w:customStyle="1" w:styleId="37">
    <w:name w:val="脚注文本 Char1"/>
    <w:basedOn w:val="16"/>
    <w:link w:val="11"/>
    <w:semiHidden/>
    <w:qFormat/>
    <w:uiPriority w:val="0"/>
    <w:rPr>
      <w:rFonts w:ascii="Times New Roman" w:hAnsi="Times New Roman"/>
      <w:sz w:val="18"/>
      <w:szCs w:val="18"/>
    </w:rPr>
  </w:style>
  <w:style w:type="character" w:customStyle="1" w:styleId="38">
    <w:name w:val="标题 4 Char Char"/>
    <w:qFormat/>
    <w:uiPriority w:val="0"/>
    <w:rPr>
      <w:rFonts w:ascii="Calibri" w:hAnsi="Calibri"/>
      <w:b/>
      <w:bCs/>
      <w:sz w:val="28"/>
      <w:szCs w:val="28"/>
      <w:lang w:eastAsia="en-US" w:bidi="en-US"/>
    </w:rPr>
  </w:style>
  <w:style w:type="character" w:customStyle="1" w:styleId="39">
    <w:name w:val="文档结构图 Char"/>
    <w:basedOn w:val="16"/>
    <w:link w:val="5"/>
    <w:qFormat/>
    <w:uiPriority w:val="0"/>
    <w:rPr>
      <w:rFonts w:ascii="宋体"/>
      <w:sz w:val="18"/>
      <w:szCs w:val="18"/>
    </w:rPr>
  </w:style>
  <w:style w:type="character" w:customStyle="1" w:styleId="40">
    <w:name w:val="批注文字 Char1"/>
    <w:basedOn w:val="16"/>
    <w:semiHidden/>
    <w:qFormat/>
    <w:uiPriority w:val="99"/>
    <w:rPr>
      <w:kern w:val="2"/>
      <w:sz w:val="21"/>
      <w:szCs w:val="22"/>
    </w:rPr>
  </w:style>
  <w:style w:type="character" w:customStyle="1" w:styleId="41">
    <w:name w:val="明显强调1"/>
    <w:basedOn w:val="16"/>
    <w:qFormat/>
    <w:uiPriority w:val="21"/>
    <w:rPr>
      <w:b/>
      <w:bCs/>
      <w:i/>
      <w:iCs/>
      <w:color w:val="4F81BD"/>
    </w:rPr>
  </w:style>
  <w:style w:type="character" w:customStyle="1" w:styleId="42">
    <w:name w:val="文档结构图 Char1"/>
    <w:basedOn w:val="16"/>
    <w:semiHidden/>
    <w:qFormat/>
    <w:uiPriority w:val="99"/>
    <w:rPr>
      <w:rFonts w:ascii="宋体" w:eastAsia="宋体"/>
      <w:sz w:val="18"/>
      <w:szCs w:val="18"/>
    </w:rPr>
  </w:style>
  <w:style w:type="character" w:customStyle="1" w:styleId="43">
    <w:name w:val="脚注文本 Char2"/>
    <w:basedOn w:val="16"/>
    <w:semiHidden/>
    <w:qFormat/>
    <w:uiPriority w:val="99"/>
    <w:rPr>
      <w:sz w:val="18"/>
      <w:szCs w:val="18"/>
    </w:rPr>
  </w:style>
  <w:style w:type="character" w:customStyle="1" w:styleId="44">
    <w:name w:val="正文文本 Char"/>
    <w:basedOn w:val="16"/>
    <w:link w:val="7"/>
    <w:qFormat/>
    <w:uiPriority w:val="1"/>
    <w:rPr>
      <w:rFonts w:ascii="仿宋_GB2312" w:hAnsi="仿宋_GB2312" w:eastAsia="仿宋_GB2312" w:cs="Times New Roman"/>
      <w:kern w:val="0"/>
      <w:sz w:val="30"/>
      <w:szCs w:val="30"/>
      <w:lang w:eastAsia="en-US"/>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1.jpeg"/><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8"/>
    <customShpInfo spid="_x0000_s1029"/>
    <customShpInfo spid="_x0000_s1030"/>
    <customShpInfo spid="_x0000_s1031"/>
    <customShpInfo spid="_x0000_s1032"/>
    <customShpInfo spid="_x0000_s1033"/>
    <customShpInfo spid="_x0000_s1034"/>
    <customShpInfo spid="_x0000_s1035"/>
    <customShpInfo spid="_x0000_s1036"/>
    <customShpInfo spid="_x0000_s1037"/>
    <customShpInfo spid="_x0000_s1038"/>
    <customShpInfo spid="_x0000_s1039"/>
    <customShpInfo spid="_x0000_s1040"/>
    <customShpInfo spid="_x0000_s1041"/>
    <customShpInfo spid="_x0000_s1042"/>
    <customShpInfo spid="_x0000_s1043"/>
    <customShpInfo spid="_x0000_s1044"/>
    <customShpInfo spid="_x0000_s1045"/>
    <customShpInfo spid="_x0000_s1046"/>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377</Words>
  <Characters>2152</Characters>
  <Lines>17</Lines>
  <Paragraphs>5</Paragraphs>
  <TotalTime>0</TotalTime>
  <ScaleCrop>false</ScaleCrop>
  <LinksUpToDate>false</LinksUpToDate>
  <CharactersWithSpaces>2524</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2020-02-17T02:50:00Z</dcterms:created>
  <dc:creator>裴建君2</dc:creator>
  <cp:lastModifiedBy>彭欣然</cp:lastModifiedBy>
  <cp:lastPrinted>2017-11-24T00:22:00Z</cp:lastPrinted>
  <dcterms:modified xsi:type="dcterms:W3CDTF">2023-03-02T10:35:13Z</dcterms:modified>
  <dc:title>编号：57013               _x0001_</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