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1D" w:rsidRDefault="005B0C36">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57012</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701F1D" w:rsidRDefault="00701F1D">
      <w:pPr>
        <w:ind w:right="300"/>
        <w:jc w:val="center"/>
        <w:rPr>
          <w:rFonts w:ascii="Times New Roman" w:eastAsia="黑体" w:hAnsi="Times New Roman" w:cs="Times New Roman"/>
          <w:sz w:val="30"/>
          <w:szCs w:val="30"/>
        </w:rPr>
      </w:pPr>
    </w:p>
    <w:p w:rsidR="00701F1D" w:rsidRDefault="00701F1D">
      <w:pPr>
        <w:ind w:right="300"/>
        <w:jc w:val="center"/>
        <w:rPr>
          <w:rFonts w:ascii="Times New Roman" w:eastAsia="黑体" w:hAnsi="Times New Roman" w:cs="Times New Roman"/>
          <w:sz w:val="30"/>
          <w:szCs w:val="30"/>
        </w:rPr>
      </w:pPr>
    </w:p>
    <w:p w:rsidR="00701F1D" w:rsidRDefault="00701F1D">
      <w:pPr>
        <w:ind w:right="300"/>
        <w:jc w:val="center"/>
        <w:rPr>
          <w:rFonts w:ascii="Times New Roman" w:eastAsia="黑体" w:hAnsi="Times New Roman" w:cs="Times New Roman"/>
          <w:sz w:val="30"/>
          <w:szCs w:val="30"/>
        </w:rPr>
      </w:pPr>
    </w:p>
    <w:p w:rsidR="00701F1D" w:rsidRDefault="00701F1D">
      <w:pPr>
        <w:ind w:right="300"/>
        <w:jc w:val="center"/>
        <w:rPr>
          <w:rFonts w:ascii="Times New Roman" w:eastAsia="黑体" w:hAnsi="Times New Roman" w:cs="Times New Roman"/>
          <w:sz w:val="52"/>
          <w:szCs w:val="52"/>
        </w:rPr>
      </w:pPr>
    </w:p>
    <w:p w:rsidR="00701F1D" w:rsidRDefault="005B0C3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资本项目外汇资金结汇核准</w:t>
      </w:r>
      <w:r>
        <w:rPr>
          <w:rFonts w:ascii="Times New Roman" w:eastAsia="黑体" w:hAnsi="Times New Roman" w:cs="Times New Roman"/>
          <w:sz w:val="52"/>
          <w:szCs w:val="52"/>
        </w:rPr>
        <w:t xml:space="preserve">” </w:t>
      </w:r>
    </w:p>
    <w:p w:rsidR="00701F1D" w:rsidRDefault="005B0C36">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701F1D" w:rsidRDefault="00701F1D">
      <w:pPr>
        <w:ind w:right="300"/>
        <w:jc w:val="center"/>
        <w:rPr>
          <w:rFonts w:ascii="Times New Roman" w:eastAsia="仿宋_GB2312" w:hAnsi="Times New Roman" w:cs="Times New Roman"/>
          <w:sz w:val="30"/>
          <w:szCs w:val="30"/>
        </w:rPr>
      </w:pPr>
    </w:p>
    <w:p w:rsidR="00701F1D" w:rsidRDefault="00701F1D">
      <w:pPr>
        <w:ind w:right="300"/>
        <w:jc w:val="center"/>
        <w:rPr>
          <w:rFonts w:ascii="Times New Roman" w:eastAsia="仿宋_GB2312" w:hAnsi="Times New Roman" w:cs="Times New Roman"/>
          <w:sz w:val="30"/>
          <w:szCs w:val="30"/>
        </w:rPr>
      </w:pPr>
    </w:p>
    <w:p w:rsidR="00701F1D" w:rsidRDefault="00701F1D">
      <w:pPr>
        <w:ind w:right="300"/>
        <w:jc w:val="center"/>
        <w:rPr>
          <w:rFonts w:ascii="Times New Roman" w:eastAsia="仿宋_GB2312" w:hAnsi="Times New Roman" w:cs="Times New Roman"/>
          <w:sz w:val="30"/>
          <w:szCs w:val="30"/>
        </w:rPr>
      </w:pPr>
    </w:p>
    <w:p w:rsidR="00701F1D" w:rsidRDefault="00701F1D">
      <w:pPr>
        <w:ind w:right="300"/>
        <w:jc w:val="center"/>
        <w:rPr>
          <w:rFonts w:ascii="Times New Roman" w:eastAsia="仿宋_GB2312" w:hAnsi="Times New Roman" w:cs="Times New Roman"/>
          <w:sz w:val="30"/>
          <w:szCs w:val="30"/>
        </w:rPr>
      </w:pPr>
    </w:p>
    <w:p w:rsidR="00701F1D" w:rsidRDefault="00701F1D">
      <w:pPr>
        <w:ind w:right="300"/>
        <w:jc w:val="center"/>
        <w:rPr>
          <w:rFonts w:ascii="Times New Roman" w:eastAsia="仿宋_GB2312" w:hAnsi="Times New Roman" w:cs="Times New Roman"/>
          <w:sz w:val="30"/>
          <w:szCs w:val="30"/>
        </w:rPr>
      </w:pPr>
    </w:p>
    <w:p w:rsidR="00701F1D" w:rsidRDefault="00701F1D">
      <w:pPr>
        <w:ind w:right="300"/>
        <w:jc w:val="center"/>
        <w:rPr>
          <w:rFonts w:ascii="Times New Roman" w:eastAsia="仿宋_GB2312" w:hAnsi="Times New Roman" w:cs="Times New Roman"/>
          <w:sz w:val="30"/>
          <w:szCs w:val="30"/>
        </w:rPr>
      </w:pPr>
    </w:p>
    <w:p w:rsidR="00701F1D" w:rsidRDefault="00701F1D">
      <w:pPr>
        <w:ind w:right="300"/>
        <w:jc w:val="center"/>
        <w:rPr>
          <w:rFonts w:ascii="Times New Roman" w:eastAsia="仿宋_GB2312" w:hAnsi="Times New Roman" w:cs="Times New Roman"/>
          <w:sz w:val="30"/>
          <w:szCs w:val="30"/>
        </w:rPr>
      </w:pPr>
    </w:p>
    <w:p w:rsidR="00701F1D" w:rsidRDefault="00701F1D">
      <w:pPr>
        <w:ind w:right="300"/>
        <w:jc w:val="center"/>
        <w:rPr>
          <w:rFonts w:ascii="Times New Roman" w:eastAsia="仿宋_GB2312" w:hAnsi="Times New Roman" w:cs="Times New Roman"/>
          <w:sz w:val="30"/>
          <w:szCs w:val="30"/>
        </w:rPr>
      </w:pPr>
    </w:p>
    <w:p w:rsidR="00701F1D" w:rsidRDefault="005B0C3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701F1D" w:rsidRDefault="005B0C3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701F1D" w:rsidRDefault="005B0C36">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sectPr w:rsidR="00701F1D">
          <w:footerReference w:type="default" r:id="rId8"/>
          <w:pgSz w:w="11906" w:h="16838"/>
          <w:pgMar w:top="1440" w:right="1800" w:bottom="1440" w:left="1800" w:header="851" w:footer="992" w:gutter="0"/>
          <w:cols w:space="720"/>
          <w:docGrid w:type="lines" w:linePitch="312"/>
        </w:sectPr>
      </w:pPr>
    </w:p>
    <w:p w:rsidR="00701F1D" w:rsidRDefault="005B0C36">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701F1D" w:rsidRDefault="005B0C36">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项目名称：资本项目外汇资金结汇核准；</w:t>
      </w:r>
    </w:p>
    <w:p w:rsidR="00701F1D" w:rsidRDefault="005B0C36">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57012</w:t>
      </w:r>
      <w:r>
        <w:rPr>
          <w:rFonts w:ascii="Times New Roman" w:eastAsia="仿宋_GB2312" w:hAnsi="Times New Roman" w:cs="Times New Roman"/>
          <w:sz w:val="30"/>
          <w:szCs w:val="30"/>
        </w:rPr>
        <w:t>；</w:t>
      </w:r>
    </w:p>
    <w:p w:rsidR="00701F1D" w:rsidRDefault="005B0C3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701F1D" w:rsidRDefault="005B0C3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701F1D" w:rsidRDefault="005B0C3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701F1D" w:rsidRDefault="005B0C3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资本项目外汇资金结汇核准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701F1D" w:rsidRDefault="005B0C36">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701F1D" w:rsidRDefault="005B0C36">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号）第二十一条：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资本项目外汇收入保留或者卖给经营结汇、售汇业务的金融机构，应当经外汇管理机关批准，但国家规定无需批准的除外</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701F1D" w:rsidRDefault="005B0C36">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四、金融机构外债结汇核准</w:t>
      </w:r>
    </w:p>
    <w:p w:rsidR="00701F1D" w:rsidRDefault="005B0C3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87</w:t>
      </w:r>
      <w:r>
        <w:rPr>
          <w:rFonts w:ascii="Times New Roman" w:eastAsia="仿宋_GB2312" w:hAnsi="Times New Roman" w:cs="Times New Roman"/>
          <w:sz w:val="30"/>
          <w:szCs w:val="30"/>
        </w:rPr>
        <w:t>年公布）。</w:t>
      </w:r>
    </w:p>
    <w:p w:rsidR="00701F1D" w:rsidRDefault="005B0C3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《境内机构借用国际商业贷款管理办法》（〔</w:t>
      </w:r>
      <w:r>
        <w:rPr>
          <w:rFonts w:ascii="Times New Roman" w:eastAsia="仿宋_GB2312" w:hAnsi="Times New Roman" w:cs="Times New Roman"/>
          <w:sz w:val="30"/>
          <w:szCs w:val="30"/>
        </w:rPr>
        <w:t>97</w:t>
      </w:r>
      <w:r>
        <w:rPr>
          <w:rFonts w:ascii="Times New Roman" w:eastAsia="仿宋_GB2312" w:hAnsi="Times New Roman" w:cs="Times New Roman"/>
          <w:sz w:val="30"/>
          <w:szCs w:val="30"/>
        </w:rPr>
        <w:t>〕汇政发字</w:t>
      </w:r>
      <w:r>
        <w:rPr>
          <w:rFonts w:ascii="Times New Roman" w:eastAsia="仿宋_GB2312" w:hAnsi="Times New Roman" w:cs="Times New Roman"/>
          <w:sz w:val="30"/>
          <w:szCs w:val="30"/>
        </w:rPr>
        <w:t>06</w:t>
      </w:r>
      <w:r>
        <w:rPr>
          <w:rFonts w:ascii="Times New Roman" w:eastAsia="仿宋_GB2312" w:hAnsi="Times New Roman" w:cs="Times New Roman"/>
          <w:sz w:val="30"/>
          <w:szCs w:val="30"/>
        </w:rPr>
        <w:t>号）。</w:t>
      </w:r>
    </w:p>
    <w:p w:rsidR="00701F1D" w:rsidRDefault="005B0C36">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《境内外资银行外债管理办法》（国家发展和改革委员会</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中国银行业监督管理委员会令</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《国家外汇管理局关于废止和修改涉及注册资本登记制度改革相关规范性文件的通知》（汇发〔</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号）。</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．其他相关法规。</w:t>
      </w:r>
    </w:p>
    <w:p w:rsidR="00701F1D" w:rsidRDefault="005B0C3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701F1D" w:rsidRDefault="005B0C3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701F1D" w:rsidRDefault="005B0C3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701F1D" w:rsidRDefault="005B0C3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国家外汇管理局或申请人所在地外汇分局。</w:t>
      </w:r>
    </w:p>
    <w:p w:rsidR="00701F1D" w:rsidRDefault="005B0C36">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701F1D" w:rsidRDefault="005B0C36">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．金融机构融入资金可用于补充资本金，服务实体经济发展，并符合国家产业宏观调控方向，经国家外汇管理局批准，金融机构融入外汇资金可结汇使用。</w:t>
      </w:r>
    </w:p>
    <w:p w:rsidR="00701F1D" w:rsidRDefault="005B0C36">
      <w:pPr>
        <w:adjustRightInd w:val="0"/>
        <w:snapToGrid w:val="0"/>
        <w:spacing w:line="360" w:lineRule="auto"/>
        <w:ind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．禁止性要求：如符合上述条件，不存在不予许可的情况。</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（六）</w:t>
      </w:r>
      <w:r>
        <w:rPr>
          <w:rFonts w:ascii="Times New Roman" w:eastAsia="黑体" w:hAnsi="Times New Roman" w:cs="Times New Roman" w:hint="eastAsia"/>
          <w:sz w:val="30"/>
          <w:szCs w:val="30"/>
        </w:rPr>
        <w:t>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10"/>
        <w:gridCol w:w="2127"/>
        <w:gridCol w:w="567"/>
        <w:gridCol w:w="992"/>
        <w:gridCol w:w="567"/>
        <w:gridCol w:w="1326"/>
      </w:tblGrid>
      <w:tr w:rsidR="00701F1D">
        <w:tc>
          <w:tcPr>
            <w:tcW w:w="533" w:type="dxa"/>
            <w:vAlign w:val="center"/>
          </w:tcPr>
          <w:p w:rsidR="00701F1D" w:rsidRDefault="005B0C3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410" w:type="dxa"/>
            <w:vAlign w:val="center"/>
          </w:tcPr>
          <w:p w:rsidR="00701F1D" w:rsidRDefault="005B0C3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2127" w:type="dxa"/>
            <w:vAlign w:val="center"/>
          </w:tcPr>
          <w:p w:rsidR="00701F1D" w:rsidRDefault="005B0C3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701F1D" w:rsidRDefault="005B0C3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2" w:type="dxa"/>
            <w:vAlign w:val="center"/>
          </w:tcPr>
          <w:p w:rsidR="00701F1D" w:rsidRDefault="005B0C3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701F1D" w:rsidRDefault="005B0C3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26" w:type="dxa"/>
            <w:vAlign w:val="center"/>
          </w:tcPr>
          <w:p w:rsidR="00701F1D" w:rsidRDefault="005B0C36">
            <w:pPr>
              <w:ind w:right="300"/>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701F1D">
        <w:trPr>
          <w:trHeight w:val="473"/>
        </w:trPr>
        <w:tc>
          <w:tcPr>
            <w:tcW w:w="533" w:type="dxa"/>
            <w:vAlign w:val="center"/>
          </w:tcPr>
          <w:p w:rsidR="00701F1D" w:rsidRDefault="005B0C36">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410"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2127"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701F1D" w:rsidRDefault="00701F1D">
            <w:pPr>
              <w:rPr>
                <w:rFonts w:ascii="Times New Roman" w:eastAsia="仿宋_GB2312" w:hAnsi="Times New Roman" w:cs="Times New Roman"/>
                <w:sz w:val="24"/>
                <w:szCs w:val="24"/>
              </w:rPr>
            </w:pPr>
          </w:p>
        </w:tc>
        <w:tc>
          <w:tcPr>
            <w:tcW w:w="1326" w:type="dxa"/>
            <w:vAlign w:val="center"/>
          </w:tcPr>
          <w:p w:rsidR="00701F1D" w:rsidRDefault="00701F1D">
            <w:pPr>
              <w:rPr>
                <w:rFonts w:ascii="Times New Roman" w:eastAsia="仿宋_GB2312" w:hAnsi="Times New Roman" w:cs="Times New Roman"/>
                <w:sz w:val="24"/>
                <w:szCs w:val="24"/>
              </w:rPr>
            </w:pPr>
          </w:p>
        </w:tc>
      </w:tr>
      <w:tr w:rsidR="00701F1D">
        <w:trPr>
          <w:trHeight w:val="378"/>
        </w:trPr>
        <w:tc>
          <w:tcPr>
            <w:tcW w:w="533" w:type="dxa"/>
            <w:vAlign w:val="center"/>
          </w:tcPr>
          <w:p w:rsidR="00701F1D" w:rsidRDefault="005B0C36">
            <w:pPr>
              <w:ind w:right="300"/>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410"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资金需结汇使用相关真实性证明</w:t>
            </w:r>
            <w:r>
              <w:rPr>
                <w:rFonts w:ascii="Times New Roman" w:eastAsia="仿宋_GB2312" w:hAnsi="Times New Roman" w:cs="Times New Roman"/>
                <w:color w:val="000000"/>
                <w:sz w:val="24"/>
                <w:szCs w:val="24"/>
              </w:rPr>
              <w:t>材料</w:t>
            </w:r>
          </w:p>
        </w:tc>
        <w:tc>
          <w:tcPr>
            <w:tcW w:w="2127"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701F1D" w:rsidRDefault="00701F1D">
            <w:pPr>
              <w:rPr>
                <w:rFonts w:ascii="Times New Roman" w:eastAsia="仿宋_GB2312" w:hAnsi="Times New Roman" w:cs="Times New Roman"/>
                <w:sz w:val="24"/>
                <w:szCs w:val="24"/>
              </w:rPr>
            </w:pPr>
          </w:p>
        </w:tc>
        <w:tc>
          <w:tcPr>
            <w:tcW w:w="1326" w:type="dxa"/>
            <w:vAlign w:val="center"/>
          </w:tcPr>
          <w:p w:rsidR="00701F1D" w:rsidRDefault="005B0C36">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701F1D" w:rsidRDefault="00701F1D">
      <w:pPr>
        <w:adjustRightInd w:val="0"/>
        <w:snapToGrid w:val="0"/>
        <w:spacing w:line="360" w:lineRule="auto"/>
        <w:ind w:firstLineChars="150" w:firstLine="450"/>
        <w:rPr>
          <w:rFonts w:ascii="Times New Roman" w:eastAsia="黑体" w:hAnsi="Times New Roman" w:cs="Times New Roman"/>
          <w:sz w:val="30"/>
          <w:szCs w:val="30"/>
        </w:rPr>
      </w:pP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701F1D" w:rsidRDefault="005B0C36">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出具相关业务办理凭证。</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701F1D" w:rsidRDefault="005B0C36">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701F1D" w:rsidRDefault="005B0C36">
      <w:pPr>
        <w:adjustRightInd w:val="0"/>
        <w:snapToGrid w:val="0"/>
        <w:spacing w:line="360" w:lineRule="auto"/>
        <w:ind w:firstLineChars="150" w:firstLine="45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701F1D" w:rsidRDefault="005B0C36">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w:t>
      </w:r>
      <w:r>
        <w:rPr>
          <w:rFonts w:ascii="Times New Roman" w:eastAsia="仿宋_GB2312" w:hAnsi="Times New Roman" w:cs="Times New Roman"/>
          <w:sz w:val="30"/>
        </w:rPr>
        <w:lastRenderedPageBreak/>
        <w:t>获批后合法合规办理相关业务，重要信息发生变更按规定及时报备，全面、及时、准确报送相关数据信息等。</w:t>
      </w:r>
    </w:p>
    <w:p w:rsidR="00701F1D" w:rsidRDefault="005B0C36">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（十五）咨询途径、监督和投诉、办公地址和时间、公开查询方式等</w:t>
      </w:r>
    </w:p>
    <w:p w:rsidR="00701F1D" w:rsidRDefault="00C36C7B">
      <w:pPr>
        <w:adjustRightInd w:val="0"/>
        <w:snapToGrid w:val="0"/>
        <w:spacing w:line="360" w:lineRule="auto"/>
        <w:ind w:firstLine="600"/>
        <w:rPr>
          <w:rFonts w:ascii="Times New Roman" w:eastAsia="仿宋_GB2312" w:hAnsi="Times New Roman" w:cs="Times New Roman"/>
          <w:sz w:val="30"/>
          <w:szCs w:val="30"/>
        </w:rPr>
        <w:sectPr w:rsidR="00701F1D">
          <w:footerReference w:type="default" r:id="rId9"/>
          <w:pgSz w:w="11906" w:h="16838"/>
          <w:pgMar w:top="1440" w:right="1800" w:bottom="1440" w:left="1800" w:header="851" w:footer="992" w:gutter="0"/>
          <w:cols w:space="720"/>
          <w:docGrid w:type="lines" w:linePitch="312"/>
        </w:sectPr>
      </w:pPr>
      <w:bookmarkStart w:id="0" w:name="_GoBack"/>
      <w:bookmarkEnd w:id="0"/>
      <w:r w:rsidRPr="00C36C7B">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C36C7B">
        <w:rPr>
          <w:rFonts w:ascii="Times New Roman" w:eastAsia="仿宋_GB2312" w:hAnsi="Times New Roman" w:cs="Times New Roman" w:hint="eastAsia"/>
          <w:sz w:val="30"/>
          <w:szCs w:val="30"/>
        </w:rPr>
        <w:t>www.safe.gov.cn</w:t>
      </w:r>
      <w:r w:rsidRPr="00C36C7B">
        <w:rPr>
          <w:rFonts w:ascii="Times New Roman" w:eastAsia="仿宋_GB2312" w:hAnsi="Times New Roman" w:cs="Times New Roman" w:hint="eastAsia"/>
          <w:sz w:val="30"/>
          <w:szCs w:val="30"/>
        </w:rPr>
        <w:t>链接至江苏分局“业务指南”栏目进行，也可通过栏目中公布的电话进行。</w:t>
      </w:r>
    </w:p>
    <w:p w:rsidR="00701F1D" w:rsidRDefault="005B0C3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701F1D" w:rsidRDefault="005B0C36">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701F1D" w:rsidRDefault="005B0C3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1394" o:spid="_x0000_s1027" style="position:absolute;left:0;text-align:left;margin-left:-12.35pt;margin-top:8.4pt;width:446.05pt;height:586.05pt;z-index:1" coordorigin="1347,3000" coordsize="8921,11721">
            <v:rect id="Rectangle 1395" o:spid="_x0000_s1028" style="position:absolute;left:4255;top:11319;width:2985;height:534" o:preferrelative="t">
              <v:stroke miterlimit="2"/>
              <v:textbox>
                <w:txbxContent>
                  <w:p w:rsidR="00701F1D" w:rsidRDefault="005B0C3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96" o:spid="_x0000_s1029" type="#_x0000_t116" style="position:absolute;left:5767;top:13681;width:3675;height:1037" o:preferrelative="t">
              <v:stroke miterlimit="2"/>
              <v:textbox>
                <w:txbxContent>
                  <w:p w:rsidR="00701F1D" w:rsidRDefault="005B0C36">
                    <w:pPr>
                      <w:jc w:val="center"/>
                    </w:pPr>
                    <w:r>
                      <w:rPr>
                        <w:rFonts w:hint="eastAsia"/>
                      </w:rPr>
                      <w:t>依法作出不予许可决定，</w:t>
                    </w:r>
                  </w:p>
                  <w:p w:rsidR="00701F1D" w:rsidRDefault="005B0C36">
                    <w:pPr>
                      <w:jc w:val="center"/>
                    </w:pPr>
                    <w:r>
                      <w:rPr>
                        <w:rFonts w:hint="eastAsia"/>
                      </w:rPr>
                      <w:t>并送达</w:t>
                    </w:r>
                  </w:p>
                </w:txbxContent>
              </v:textbox>
            </v:shape>
            <v:shape id="AutoShape 1397" o:spid="_x0000_s1030" type="#_x0000_t116" style="position:absolute;left:2042;top:13663;width:3461;height:1058" o:preferrelative="t">
              <v:stroke miterlimit="2"/>
              <v:textbox>
                <w:txbxContent>
                  <w:p w:rsidR="00701F1D" w:rsidRDefault="005B0C36">
                    <w:pPr>
                      <w:jc w:val="center"/>
                    </w:pPr>
                    <w:r>
                      <w:rPr>
                        <w:rFonts w:hint="eastAsia"/>
                      </w:rPr>
                      <w:t>依法予以许可，出具相关</w:t>
                    </w:r>
                  </w:p>
                  <w:p w:rsidR="00701F1D" w:rsidRDefault="005B0C3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98" o:spid="_x0000_s1031" type="#_x0000_t32" style="position:absolute;left:5729;top:10693;width:1;height:626" o:connectortype="straight" o:preferrelative="t">
              <v:stroke endarrow="block" miterlimit="2"/>
            </v:shape>
            <v:shape id="AutoShape 1399" o:spid="_x0000_s1032" type="#_x0000_t32" style="position:absolute;left:7678;top:12568;width:17;height:1095" o:connectortype="straight" o:preferrelative="t">
              <v:stroke endarrow="block" miterlimit="2"/>
            </v:shape>
            <v:shape id="AutoShape 1400" o:spid="_x0000_s1033" type="#_x0000_t32" style="position:absolute;left:3705;top:12568;width:1;height:1035" o:connectortype="straight" o:preferrelative="t">
              <v:stroke endarrow="block" miterlimit="2"/>
            </v:shape>
            <v:shape id="AutoShape 1401" o:spid="_x0000_s1034" type="#_x0000_t32" style="position:absolute;left:5730;top:11853;width:1;height:715" o:connectortype="straight" o:preferrelative="t">
              <v:stroke miterlimit="2"/>
            </v:shape>
            <v:shape id="AutoShape 1402" o:spid="_x0000_s1035" type="#_x0000_t32" style="position:absolute;left:3706;top:12568;width:3972;height:0" o:connectortype="straight" o:preferrelative="t">
              <v:stroke miterlimit="2"/>
            </v:shape>
            <v:group id="Group 1403" o:spid="_x0000_s1036" style="position:absolute;left:1347;top:3000;width:8921;height:7693" coordorigin="1347,3000" coordsize="8921,7693">
              <v:shape id="AutoShape 1404" o:spid="_x0000_s1037" type="#_x0000_t32" style="position:absolute;left:7240;top:9566;width:0;height:608" o:connectortype="straight" o:preferrelative="t">
                <v:stroke endarrow="block" miterlimit="2"/>
              </v:shape>
              <v:group id="Group 1405" o:spid="_x0000_s1038" style="position:absolute;left:1347;top:3000;width:8921;height:7693" coordorigin="1347,3000"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06"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407" o:spid="_x0000_s1040" type="#_x0000_t202" style="position:absolute;left:9343;top:5297;width:754;height:2553" o:preferrelative="t" strokecolor="white">
                  <v:stroke miterlimit="2"/>
                  <v:textbox>
                    <w:txbxContent>
                      <w:p w:rsidR="00701F1D" w:rsidRDefault="005B0C36">
                        <w:pPr>
                          <w:jc w:val="center"/>
                        </w:pPr>
                        <w:r>
                          <w:rPr>
                            <w:rFonts w:hint="eastAsia"/>
                          </w:rPr>
                          <w:t>不能提供符合受理要求的</w:t>
                        </w:r>
                      </w:p>
                      <w:p w:rsidR="00701F1D" w:rsidRDefault="005B0C36">
                        <w:pPr>
                          <w:jc w:val="center"/>
                        </w:pPr>
                        <w:r>
                          <w:rPr>
                            <w:rFonts w:hint="eastAsia"/>
                          </w:rPr>
                          <w:t>材料</w:t>
                        </w:r>
                      </w:p>
                    </w:txbxContent>
                  </v:textbox>
                </v:shape>
                <v:shape id="AutoShape 1408" o:spid="_x0000_s1041" type="#_x0000_t32" style="position:absolute;left:7240;top:7472;width:0;height:378" o:connectortype="straight" o:preferrelative="t">
                  <v:stroke endarrow="block" miterlimit="2"/>
                </v:shape>
                <v:shape id="Text Box 1409" o:spid="_x0000_s1042" type="#_x0000_t202" style="position:absolute;left:3915;top:9566;width:2737;height:477" o:preferrelative="t" strokecolor="white">
                  <v:stroke miterlimit="2"/>
                  <v:textbox>
                    <w:txbxContent>
                      <w:p w:rsidR="00701F1D" w:rsidRDefault="005B0C3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410" o:spid="_x0000_s1043" type="#_x0000_t4" style="position:absolute;left:5503;top:7833;width:3480;height:1733" o:preferrelative="t">
                  <v:stroke miterlimit="2"/>
                  <v:textbox>
                    <w:txbxContent>
                      <w:p w:rsidR="00701F1D" w:rsidRDefault="00701F1D">
                        <w:pPr>
                          <w:jc w:val="center"/>
                        </w:pPr>
                      </w:p>
                      <w:p w:rsidR="00701F1D" w:rsidRDefault="005B0C36">
                        <w:pPr>
                          <w:jc w:val="center"/>
                        </w:pPr>
                        <w:r>
                          <w:rPr>
                            <w:rFonts w:hint="eastAsia"/>
                          </w:rPr>
                          <w:t>申请人补充材料</w:t>
                        </w:r>
                      </w:p>
                    </w:txbxContent>
                  </v:textbox>
                </v:shape>
                <v:rect id="Rectangle 1411" o:spid="_x0000_s1044" style="position:absolute;left:3915;top:10174;width:4816;height:519" o:preferrelative="t">
                  <v:stroke miterlimit="2"/>
                  <v:textbox>
                    <w:txbxContent>
                      <w:p w:rsidR="00701F1D" w:rsidRDefault="005B0C36">
                        <w:pPr>
                          <w:jc w:val="center"/>
                        </w:pPr>
                        <w:r>
                          <w:rPr>
                            <w:rFonts w:hint="eastAsia"/>
                          </w:rPr>
                          <w:t>依法应予受理，出具行政审批受理单</w:t>
                        </w:r>
                      </w:p>
                      <w:p w:rsidR="00701F1D" w:rsidRDefault="00701F1D">
                        <w:pPr>
                          <w:jc w:val="center"/>
                        </w:pPr>
                      </w:p>
                    </w:txbxContent>
                  </v:textbox>
                </v:rect>
                <v:rect id="Rectangle 1412" o:spid="_x0000_s1045" style="position:absolute;left:5913;top:6341;width:3190;height:1114" o:preferrelative="t">
                  <v:stroke miterlimit="2"/>
                  <v:textbox>
                    <w:txbxContent>
                      <w:p w:rsidR="00701F1D" w:rsidRDefault="005B0C36">
                        <w:pPr>
                          <w:jc w:val="center"/>
                        </w:pPr>
                        <w:r>
                          <w:rPr>
                            <w:rFonts w:hint="eastAsia"/>
                          </w:rPr>
                          <w:t>材料不全或不符合法定形式的，</w:t>
                        </w:r>
                      </w:p>
                      <w:p w:rsidR="00701F1D" w:rsidRDefault="005B0C36">
                        <w:pPr>
                          <w:jc w:val="center"/>
                        </w:pPr>
                        <w:r>
                          <w:rPr>
                            <w:rFonts w:hint="eastAsia"/>
                          </w:rPr>
                          <w:t>一次性告知补正材料，</w:t>
                        </w:r>
                      </w:p>
                      <w:p w:rsidR="00701F1D" w:rsidRDefault="005B0C36">
                        <w:pPr>
                          <w:jc w:val="center"/>
                        </w:pPr>
                        <w:r>
                          <w:rPr>
                            <w:rFonts w:hint="eastAsia"/>
                          </w:rPr>
                          <w:t>出具行政审批补正材料通知书</w:t>
                        </w:r>
                      </w:p>
                      <w:p w:rsidR="00701F1D" w:rsidRDefault="00701F1D"/>
                    </w:txbxContent>
                  </v:textbox>
                </v:rect>
                <v:shape id="AutoShape 1413" o:spid="_x0000_s1046" type="#_x0000_t116" style="position:absolute;left:5913;top:4337;width:2818;height:1423" o:preferrelative="t">
                  <v:stroke miterlimit="2"/>
                  <v:textbox>
                    <w:txbxContent>
                      <w:p w:rsidR="00701F1D" w:rsidRDefault="005B0C36">
                        <w:pPr>
                          <w:jc w:val="center"/>
                        </w:pPr>
                        <w:r>
                          <w:rPr>
                            <w:rFonts w:hint="eastAsia"/>
                          </w:rPr>
                          <w:t>依法不予受理的，作出不予受理决定，出具不予受理行政审批申请通知书</w:t>
                        </w:r>
                      </w:p>
                      <w:p w:rsidR="00701F1D" w:rsidRDefault="00701F1D">
                        <w:pPr>
                          <w:jc w:val="center"/>
                        </w:pPr>
                      </w:p>
                    </w:txbxContent>
                  </v:textbox>
                </v:shape>
                <v:group id="Group 1414" o:spid="_x0000_s1047" style="position:absolute;left:1347;top:3000;width:4594;height:7424" coordorigin="1347,3000" coordsize="4594,7424">
                  <v:shape id="AutoShape 1415" o:spid="_x0000_s1048" type="#_x0000_t32" style="position:absolute;left:5010;top:6910;width:931;height:0" o:connectortype="straight" o:preferrelative="t">
                    <v:stroke endarrow="block" miterlimit="2"/>
                  </v:shape>
                  <v:shape id="AutoShape 1416" o:spid="_x0000_s1049" type="#_x0000_t32" style="position:absolute;left:2702;top:6986;width:1;height:3437" o:connectortype="straight" o:preferrelative="t">
                    <v:stroke miterlimit="2"/>
                  </v:shape>
                  <v:group id="Group 1417" o:spid="_x0000_s1050" style="position:absolute;left:1347;top:3000;width:3629;height:3986" coordorigin="1347,3000" coordsize="3629,3986">
                    <v:shape id="AutoShape 1418" o:spid="_x0000_s1051" type="#_x0000_t32" style="position:absolute;left:2743;top:4172;width:1;height:764" o:connectortype="straight" o:preferrelative="t">
                      <v:stroke endarrow="block" miterlimit="2"/>
                    </v:shape>
                    <v:shape id="AutoShape 1419" o:spid="_x0000_s1052" type="#_x0000_t32" style="position:absolute;left:3747;top:5967;width:1229;height:0" o:connectortype="straight" o:preferrelative="t">
                      <v:stroke miterlimit="2"/>
                    </v:shape>
                    <v:shape id="AutoShape 1420" o:spid="_x0000_s1053" type="#_x0000_t4" style="position:absolute;left:1347;top:4936;width:2773;height:2050" o:preferrelative="t">
                      <v:stroke miterlimit="2"/>
                      <v:textbox>
                        <w:txbxContent>
                          <w:p w:rsidR="00701F1D" w:rsidRDefault="005B0C36">
                            <w:r>
                              <w:rPr>
                                <w:rFonts w:hint="eastAsia"/>
                              </w:rPr>
                              <w:t>接件（</w:t>
                            </w:r>
                            <w:r>
                              <w:t>5</w:t>
                            </w:r>
                            <w:r>
                              <w:rPr>
                                <w:rFonts w:hint="eastAsia"/>
                              </w:rPr>
                              <w:t>个工作日）作出是否受理决定</w:t>
                            </w:r>
                          </w:p>
                          <w:p w:rsidR="00701F1D" w:rsidRDefault="00701F1D"/>
                        </w:txbxContent>
                      </v:textbox>
                    </v:shape>
                    <v:shape id="AutoShape 1421" o:spid="_x0000_s1054" type="#_x0000_t116" style="position:absolute;left:1531;top:3000;width:2724;height:1172" o:preferrelative="t">
                      <v:stroke miterlimit="2"/>
                      <v:textbox>
                        <w:txbxContent>
                          <w:p w:rsidR="00701F1D" w:rsidRDefault="005B0C36">
                            <w:pPr>
                              <w:jc w:val="center"/>
                            </w:pPr>
                            <w:r>
                              <w:rPr>
                                <w:rFonts w:hint="eastAsia"/>
                              </w:rPr>
                              <w:t>申请人提出书面申请，并提交材料</w:t>
                            </w:r>
                          </w:p>
                        </w:txbxContent>
                      </v:textbox>
                    </v:shape>
                  </v:group>
                  <v:shape id="AutoShape 1422" o:spid="_x0000_s1055" type="#_x0000_t32" style="position:absolute;left:2702;top:10423;width:1213;height:1" o:connectortype="straight" o:preferrelative="t">
                    <v:stroke endarrow="block" miterlimit="2"/>
                  </v:shape>
                  <v:shape id="AutoShape 1423" o:spid="_x0000_s1056" type="#_x0000_t32" style="position:absolute;left:5010;top:4999;width:0;height:1921" o:connectortype="straight" o:preferrelative="t">
                    <v:stroke miterlimit="2"/>
                  </v:shape>
                  <v:shape id="AutoShape 1424" o:spid="_x0000_s1057" type="#_x0000_t32" style="position:absolute;left:5010;top:4989;width:903;height:1" o:connectortype="straight" o:preferrelative="t">
                    <v:stroke endarrow="block" miterlimit="2"/>
                  </v:shape>
                  <v:shape id="Text Box 1425" o:spid="_x0000_s1058" type="#_x0000_t202" style="position:absolute;left:1944;top:8280;width:508;height:1152" o:preferrelative="t" strokecolor="white">
                    <v:stroke miterlimit="2"/>
                    <v:textbox>
                      <w:txbxContent>
                        <w:p w:rsidR="00701F1D" w:rsidRDefault="005B0C36">
                          <w:r>
                            <w:rPr>
                              <w:rFonts w:hint="eastAsia"/>
                            </w:rPr>
                            <w:t>是</w:t>
                          </w:r>
                        </w:p>
                      </w:txbxContent>
                    </v:textbox>
                  </v:shape>
                  <v:shape id="Text Box 1426" o:spid="_x0000_s1059" type="#_x0000_t202" style="position:absolute;left:4146;top:5220;width:508;height:471" o:preferrelative="t" strokecolor="white">
                    <v:stroke miterlimit="2"/>
                    <v:textbox style="mso-fit-shape-to-text:t">
                      <w:txbxContent>
                        <w:p w:rsidR="00701F1D" w:rsidRDefault="005B0C36">
                          <w:r>
                            <w:rPr>
                              <w:rFonts w:hint="eastAsia"/>
                            </w:rPr>
                            <w:t>否</w:t>
                          </w:r>
                        </w:p>
                      </w:txbxContent>
                    </v:textbox>
                  </v:shape>
                </v:group>
                <v:shape id="AutoShape 1427" o:spid="_x0000_s1060" type="#_x0000_t32" style="position:absolute;left:8731;top:4886;width:1537;height:0;flip:x" o:connectortype="straight" o:preferrelative="t">
                  <v:stroke endarrow="block" miterlimit="2"/>
                </v:shape>
              </v:group>
            </v:group>
          </v:group>
        </w:pict>
      </w: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5B0C3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701F1D">
      <w:pPr>
        <w:ind w:right="300"/>
        <w:rPr>
          <w:rFonts w:ascii="Times New Roman" w:eastAsia="仿宋_GB2312" w:hAnsi="Times New Roman" w:cs="Times New Roman"/>
          <w:sz w:val="30"/>
          <w:szCs w:val="30"/>
        </w:rPr>
      </w:pPr>
    </w:p>
    <w:p w:rsidR="00701F1D" w:rsidRDefault="005B0C36">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701F1D" w:rsidRDefault="00701F1D">
      <w:pPr>
        <w:adjustRightInd w:val="0"/>
        <w:snapToGrid w:val="0"/>
        <w:spacing w:line="360" w:lineRule="auto"/>
        <w:jc w:val="center"/>
        <w:rPr>
          <w:rFonts w:ascii="Times New Roman" w:eastAsia="黑体" w:hAnsi="Times New Roman" w:cs="Times New Roman"/>
          <w:sz w:val="30"/>
          <w:szCs w:val="30"/>
        </w:rPr>
      </w:pPr>
    </w:p>
    <w:p w:rsidR="00701F1D" w:rsidRDefault="005B0C36">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701F1D" w:rsidRDefault="00701F1D">
      <w:pPr>
        <w:adjustRightInd w:val="0"/>
        <w:snapToGrid w:val="0"/>
        <w:spacing w:line="360" w:lineRule="auto"/>
        <w:jc w:val="center"/>
        <w:rPr>
          <w:rFonts w:ascii="Times New Roman" w:eastAsia="黑体" w:hAnsi="Times New Roman" w:cs="Times New Roman"/>
          <w:sz w:val="30"/>
          <w:szCs w:val="30"/>
        </w:rPr>
      </w:pP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．问：不具备吸存放贷业务资格的非存款类金融机构外债资金是否可以意愿结汇？</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答：不具备吸存放贷业务资格的非存款类金融机构外债资金，用于服务实体经济发展，并符合国家产业宏观调控方向，经所在地外汇分局批准可结汇使用。</w:t>
      </w:r>
    </w:p>
    <w:p w:rsidR="00701F1D" w:rsidRDefault="005B0C36">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．问：银行的外债可以结汇吗？</w:t>
      </w:r>
    </w:p>
    <w:p w:rsidR="00701F1D" w:rsidRDefault="005B0C36">
      <w:pPr>
        <w:adjustRightInd w:val="0"/>
        <w:snapToGrid w:val="0"/>
        <w:spacing w:line="360" w:lineRule="auto"/>
        <w:ind w:firstLineChars="200" w:firstLine="600"/>
        <w:rPr>
          <w:rFonts w:ascii="Times New Roman" w:eastAsia="黑体" w:hAnsi="Times New Roman" w:cs="Times New Roman"/>
          <w:sz w:val="48"/>
          <w:szCs w:val="48"/>
        </w:rPr>
      </w:pPr>
      <w:r>
        <w:rPr>
          <w:rFonts w:ascii="Times New Roman" w:eastAsia="仿宋_GB2312" w:hAnsi="Times New Roman" w:cs="Times New Roman"/>
          <w:sz w:val="30"/>
          <w:szCs w:val="30"/>
        </w:rPr>
        <w:t>答：服务实体经济发展，并符合国家产业宏观调控方向，经国家外汇管理局批准，金融机构融入外汇资金可结汇使用。</w:t>
      </w:r>
    </w:p>
    <w:sectPr w:rsidR="00701F1D">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36" w:rsidRDefault="005B0C36">
      <w:r>
        <w:separator/>
      </w:r>
    </w:p>
  </w:endnote>
  <w:endnote w:type="continuationSeparator" w:id="0">
    <w:p w:rsidR="005B0C36" w:rsidRDefault="005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1D" w:rsidRDefault="005B0C36">
    <w:pPr>
      <w:pStyle w:val="a6"/>
      <w:jc w:val="center"/>
    </w:pPr>
    <w:r>
      <w:fldChar w:fldCharType="begin"/>
    </w:r>
    <w:r>
      <w:instrText xml:space="preserve"> PAGE   \* MERGEFORMAT </w:instrText>
    </w:r>
    <w:r>
      <w:fldChar w:fldCharType="separate"/>
    </w:r>
    <w:r w:rsidR="00C36C7B" w:rsidRPr="00C36C7B">
      <w:rPr>
        <w:noProof/>
        <w:lang w:val="zh-CN"/>
      </w:rPr>
      <w:t>1</w:t>
    </w:r>
    <w:r>
      <w:rPr>
        <w:lang w:val="zh-CN"/>
      </w:rPr>
      <w:fldChar w:fldCharType="end"/>
    </w:r>
  </w:p>
  <w:p w:rsidR="00701F1D" w:rsidRDefault="00701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1D" w:rsidRDefault="005B0C36">
    <w:pPr>
      <w:pStyle w:val="a6"/>
      <w:jc w:val="center"/>
    </w:pPr>
    <w:r>
      <w:fldChar w:fldCharType="begin"/>
    </w:r>
    <w:r>
      <w:instrText xml:space="preserve"> PAGE   \* MERGEFORMAT </w:instrText>
    </w:r>
    <w:r>
      <w:fldChar w:fldCharType="separate"/>
    </w:r>
    <w:r w:rsidR="00C36C7B" w:rsidRPr="00C36C7B">
      <w:rPr>
        <w:noProof/>
        <w:lang w:val="zh-CN"/>
      </w:rPr>
      <w:t>4</w:t>
    </w:r>
    <w:r>
      <w:rPr>
        <w:lang w:val="zh-CN"/>
      </w:rPr>
      <w:fldChar w:fldCharType="end"/>
    </w:r>
  </w:p>
  <w:p w:rsidR="00701F1D" w:rsidRDefault="00701F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1D" w:rsidRDefault="005B0C36">
    <w:pPr>
      <w:pStyle w:val="a6"/>
      <w:jc w:val="center"/>
    </w:pPr>
    <w:r>
      <w:fldChar w:fldCharType="begin"/>
    </w:r>
    <w:r>
      <w:instrText xml:space="preserve"> PAGE   \* MERGEFORMAT </w:instrText>
    </w:r>
    <w:r>
      <w:fldChar w:fldCharType="separate"/>
    </w:r>
    <w:r w:rsidR="00C36C7B" w:rsidRPr="00C36C7B">
      <w:rPr>
        <w:noProof/>
        <w:lang w:val="zh-CN"/>
      </w:rPr>
      <w:t>6</w:t>
    </w:r>
    <w:r>
      <w:fldChar w:fldCharType="end"/>
    </w:r>
  </w:p>
  <w:p w:rsidR="00701F1D" w:rsidRDefault="00701F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36" w:rsidRDefault="005B0C36">
      <w:r>
        <w:separator/>
      </w:r>
    </w:p>
  </w:footnote>
  <w:footnote w:type="continuationSeparator" w:id="0">
    <w:p w:rsidR="005B0C36" w:rsidRDefault="005B0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B0C36"/>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1F1D"/>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36C7B"/>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02FF21CB"/>
    <w:rsid w:val="236C0F2D"/>
    <w:rsid w:val="3E934C17"/>
    <w:rsid w:val="67180745"/>
    <w:rsid w:val="6E6654B0"/>
    <w:rsid w:val="7D0C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398"/>
        <o:r id="V:Rule2" type="connector" idref="#AutoShape 1400"/>
        <o:r id="V:Rule3" type="connector" idref="#AutoShape 1399"/>
        <o:r id="V:Rule4" type="connector" idref="#AutoShape 1406"/>
        <o:r id="V:Rule5" type="connector" idref="#AutoShape 1404"/>
        <o:r id="V:Rule6" type="connector" idref="#AutoShape 1401"/>
        <o:r id="V:Rule7" type="connector" idref="#AutoShape 1402"/>
        <o:r id="V:Rule8" type="connector" idref="#AutoShape 1416"/>
        <o:r id="V:Rule9" type="connector" idref="#AutoShape 1418"/>
        <o:r id="V:Rule10" type="connector" idref="#AutoShape 1422"/>
        <o:r id="V:Rule11" type="connector" idref="#AutoShape 1419"/>
        <o:r id="V:Rule12" type="connector" idref="#AutoShape 1408"/>
        <o:r id="V:Rule13" type="connector" idref="#AutoShape 1427"/>
        <o:r id="V:Rule14" type="connector" idref="#AutoShape 1415"/>
        <o:r id="V:Rule15" type="connector" idref="#AutoShape 1423"/>
        <o:r id="V:Rule16" type="connector" idref="#AutoShape 1424"/>
      </o:rules>
    </o:shapelayout>
  </w:shapeDefaults>
  <w:decimalSymbol w:val="."/>
  <w:listSeparator w:val=","/>
  <w15:docId w15:val="{2E257EA8-1249-412C-BF53-85E499E8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qFormat/>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编号：57012               _x0001_</dc:title>
  <dc:creator>裴建君2</dc:creator>
  <cp:lastModifiedBy>孟田</cp:lastModifiedBy>
  <cp:revision>1</cp:revision>
  <cp:lastPrinted>2020-07-02T09:04:00Z</cp:lastPrinted>
  <dcterms:created xsi:type="dcterms:W3CDTF">2020-03-18T05:48:00Z</dcterms:created>
  <dcterms:modified xsi:type="dcterms:W3CDTF">2021-02-04T06:38:00Z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