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240" w:lineRule="atLeast"/>
        <w:jc w:val="center"/>
        <w:rPr>
          <w:rFonts w:ascii="Times New Roman" w:hAnsi="Times New Roman"/>
          <w:sz w:val="28"/>
          <w:szCs w:val="28"/>
        </w:rPr>
      </w:pPr>
      <w:bookmarkStart w:id="0" w:name="_Toc487492193"/>
      <w:bookmarkStart w:id="1" w:name="_Toc485028274"/>
      <w:bookmarkStart w:id="2" w:name="_Toc492328435"/>
      <w:bookmarkStart w:id="3" w:name="_Toc495992552"/>
      <w:bookmarkStart w:id="5" w:name="_GoBack"/>
      <w:bookmarkEnd w:id="5"/>
      <w:r>
        <w:rPr>
          <w:rFonts w:hint="eastAsia" w:ascii="黑体" w:eastAsia="黑体"/>
          <w:sz w:val="30"/>
          <w:szCs w:val="30"/>
        </w:rPr>
        <w:t>非银行债务人外债签约（变更）登记</w:t>
      </w:r>
    </w:p>
    <w:p>
      <w:pPr>
        <w:widowControl/>
        <w:adjustRightInd w:val="0"/>
        <w:snapToGrid w:val="0"/>
        <w:spacing w:line="240" w:lineRule="atLeast"/>
        <w:jc w:val="center"/>
        <w:rPr>
          <w:rFonts w:ascii="Times New Roman" w:hAnsi="Times New Roman"/>
          <w:sz w:val="28"/>
          <w:szCs w:val="28"/>
        </w:rPr>
      </w:pPr>
      <w:r>
        <w:rPr>
          <w:rFonts w:hint="eastAsia" w:ascii="Times New Roman" w:hAnsi="Times New Roman"/>
          <w:b/>
          <w:bCs/>
          <w:sz w:val="28"/>
          <w:szCs w:val="28"/>
        </w:rPr>
        <w:t>宏观审慎跨境融资风险加权余额情况表（企业版）</w:t>
      </w:r>
      <w:bookmarkEnd w:id="0"/>
      <w:bookmarkEnd w:id="1"/>
      <w:bookmarkEnd w:id="2"/>
      <w:bookmarkEnd w:id="3"/>
    </w:p>
    <w:p>
      <w:pPr>
        <w:ind w:firstLine="1680" w:firstLineChars="800"/>
      </w:pPr>
      <w:bookmarkStart w:id="4" w:name="_Toc485028275"/>
      <w:r>
        <w:rPr>
          <w:rFonts w:hint="eastAsia"/>
        </w:rPr>
        <w:t xml:space="preserve">                                          </w:t>
      </w:r>
      <w:r>
        <w:t>单位</w:t>
      </w:r>
      <w:r>
        <w:rPr>
          <w:rStyle w:val="16"/>
        </w:rPr>
        <w:footnoteReference w:id="0"/>
      </w:r>
      <w:r>
        <w:t>：万元人民币</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709"/>
        <w:gridCol w:w="1673"/>
        <w:gridCol w:w="1461"/>
        <w:gridCol w:w="268"/>
        <w:gridCol w:w="1592"/>
        <w:gridCol w:w="47"/>
        <w:gridCol w:w="23"/>
        <w:gridCol w:w="1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959" w:type="dxa"/>
            <w:vMerge w:val="restart"/>
            <w:vAlign w:val="center"/>
          </w:tcPr>
          <w:p>
            <w:pPr>
              <w:spacing w:line="320" w:lineRule="exact"/>
              <w:jc w:val="center"/>
              <w:rPr>
                <w:rFonts w:ascii="宋体" w:hAnsi="宋体"/>
                <w:sz w:val="24"/>
              </w:rPr>
            </w:pPr>
            <w:r>
              <w:rPr>
                <w:rFonts w:ascii="宋体" w:hAnsi="宋体"/>
                <w:sz w:val="24"/>
              </w:rPr>
              <w:t>基本</w:t>
            </w:r>
          </w:p>
          <w:p>
            <w:pPr>
              <w:spacing w:line="320" w:lineRule="exact"/>
              <w:jc w:val="center"/>
              <w:rPr>
                <w:rFonts w:ascii="宋体" w:hAnsi="宋体"/>
                <w:sz w:val="24"/>
              </w:rPr>
            </w:pPr>
            <w:r>
              <w:rPr>
                <w:rFonts w:ascii="宋体" w:hAnsi="宋体"/>
                <w:sz w:val="24"/>
              </w:rPr>
              <w:t>信息</w:t>
            </w:r>
          </w:p>
        </w:tc>
        <w:tc>
          <w:tcPr>
            <w:tcW w:w="2382" w:type="dxa"/>
            <w:gridSpan w:val="2"/>
            <w:vAlign w:val="center"/>
          </w:tcPr>
          <w:p>
            <w:pPr>
              <w:spacing w:line="320" w:lineRule="exact"/>
              <w:jc w:val="center"/>
              <w:rPr>
                <w:rFonts w:ascii="宋体" w:hAnsi="宋体"/>
                <w:sz w:val="24"/>
              </w:rPr>
            </w:pPr>
            <w:r>
              <w:rPr>
                <w:rFonts w:ascii="宋体" w:hAnsi="宋体"/>
                <w:sz w:val="24"/>
              </w:rPr>
              <w:t>债务人名称</w:t>
            </w:r>
          </w:p>
        </w:tc>
        <w:tc>
          <w:tcPr>
            <w:tcW w:w="5181" w:type="dxa"/>
            <w:gridSpan w:val="6"/>
            <w:vAlign w:val="center"/>
          </w:tcPr>
          <w:p>
            <w:pPr>
              <w:spacing w:line="32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宋体" w:hAnsi="宋体"/>
                <w:sz w:val="24"/>
              </w:rPr>
            </w:pPr>
          </w:p>
        </w:tc>
        <w:tc>
          <w:tcPr>
            <w:tcW w:w="2382" w:type="dxa"/>
            <w:gridSpan w:val="2"/>
            <w:vAlign w:val="center"/>
          </w:tcPr>
          <w:p>
            <w:pPr>
              <w:spacing w:line="320" w:lineRule="exact"/>
              <w:jc w:val="center"/>
              <w:rPr>
                <w:rFonts w:ascii="宋体" w:hAnsi="宋体"/>
                <w:sz w:val="24"/>
              </w:rPr>
            </w:pPr>
            <w:r>
              <w:rPr>
                <w:rFonts w:hint="eastAsia" w:ascii="宋体" w:hAnsi="宋体"/>
                <w:sz w:val="24"/>
              </w:rPr>
              <w:t>统一社会信用代码</w:t>
            </w:r>
          </w:p>
        </w:tc>
        <w:tc>
          <w:tcPr>
            <w:tcW w:w="1461" w:type="dxa"/>
            <w:vAlign w:val="center"/>
          </w:tcPr>
          <w:p>
            <w:pPr>
              <w:spacing w:line="320" w:lineRule="exact"/>
              <w:jc w:val="center"/>
              <w:rPr>
                <w:rFonts w:ascii="宋体" w:hAnsi="宋体"/>
                <w:sz w:val="24"/>
              </w:rPr>
            </w:pPr>
          </w:p>
        </w:tc>
        <w:tc>
          <w:tcPr>
            <w:tcW w:w="1860" w:type="dxa"/>
            <w:gridSpan w:val="2"/>
            <w:vAlign w:val="center"/>
          </w:tcPr>
          <w:p>
            <w:pPr>
              <w:spacing w:line="320" w:lineRule="exact"/>
              <w:jc w:val="center"/>
              <w:rPr>
                <w:rFonts w:ascii="宋体" w:hAnsi="宋体"/>
                <w:sz w:val="24"/>
              </w:rPr>
            </w:pPr>
            <w:r>
              <w:rPr>
                <w:rFonts w:ascii="宋体" w:hAnsi="宋体"/>
                <w:sz w:val="24"/>
              </w:rPr>
              <w:t>债务人类型</w:t>
            </w:r>
            <w:r>
              <w:rPr>
                <w:rStyle w:val="16"/>
                <w:rFonts w:ascii="宋体" w:hAnsi="宋体"/>
                <w:sz w:val="24"/>
              </w:rPr>
              <w:footnoteReference w:id="1"/>
            </w:r>
          </w:p>
        </w:tc>
        <w:tc>
          <w:tcPr>
            <w:tcW w:w="1860" w:type="dxa"/>
            <w:gridSpan w:val="3"/>
            <w:vAlign w:val="center"/>
          </w:tcPr>
          <w:p>
            <w:pPr>
              <w:spacing w:line="32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959" w:type="dxa"/>
            <w:vMerge w:val="restart"/>
            <w:vAlign w:val="center"/>
          </w:tcPr>
          <w:p>
            <w:pPr>
              <w:spacing w:line="320" w:lineRule="exact"/>
              <w:jc w:val="center"/>
              <w:rPr>
                <w:rFonts w:ascii="宋体" w:hAnsi="宋体"/>
                <w:sz w:val="24"/>
              </w:rPr>
            </w:pPr>
            <w:r>
              <w:rPr>
                <w:rFonts w:hint="eastAsia" w:ascii="宋体" w:hAnsi="宋体"/>
                <w:sz w:val="24"/>
              </w:rPr>
              <w:t>跨境融资</w:t>
            </w:r>
            <w:r>
              <w:rPr>
                <w:rFonts w:ascii="宋体" w:hAnsi="宋体"/>
                <w:sz w:val="24"/>
              </w:rPr>
              <w:t>风险加权余额上限</w:t>
            </w:r>
          </w:p>
        </w:tc>
        <w:tc>
          <w:tcPr>
            <w:tcW w:w="2382" w:type="dxa"/>
            <w:gridSpan w:val="2"/>
            <w:vAlign w:val="center"/>
          </w:tcPr>
          <w:p>
            <w:pPr>
              <w:spacing w:line="320" w:lineRule="exact"/>
              <w:jc w:val="center"/>
              <w:rPr>
                <w:rFonts w:ascii="宋体" w:hAnsi="宋体"/>
                <w:sz w:val="24"/>
              </w:rPr>
            </w:pPr>
            <w:r>
              <w:rPr>
                <w:rFonts w:ascii="宋体" w:hAnsi="宋体"/>
                <w:sz w:val="24"/>
              </w:rPr>
              <w:t>净资产</w:t>
            </w:r>
            <w:r>
              <w:rPr>
                <w:rStyle w:val="16"/>
                <w:rFonts w:ascii="宋体" w:hAnsi="宋体"/>
                <w:sz w:val="24"/>
              </w:rPr>
              <w:footnoteReference w:id="2"/>
            </w:r>
          </w:p>
        </w:tc>
        <w:tc>
          <w:tcPr>
            <w:tcW w:w="5181" w:type="dxa"/>
            <w:gridSpan w:val="6"/>
            <w:vAlign w:val="center"/>
          </w:tcPr>
          <w:p>
            <w:pPr>
              <w:spacing w:line="32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宋体" w:hAnsi="宋体"/>
                <w:sz w:val="24"/>
              </w:rPr>
            </w:pPr>
          </w:p>
        </w:tc>
        <w:tc>
          <w:tcPr>
            <w:tcW w:w="2382" w:type="dxa"/>
            <w:gridSpan w:val="2"/>
            <w:vAlign w:val="center"/>
          </w:tcPr>
          <w:p>
            <w:pPr>
              <w:spacing w:line="320" w:lineRule="exact"/>
              <w:jc w:val="center"/>
              <w:rPr>
                <w:rFonts w:ascii="宋体" w:hAnsi="宋体"/>
                <w:sz w:val="24"/>
              </w:rPr>
            </w:pPr>
            <w:r>
              <w:rPr>
                <w:rFonts w:ascii="宋体" w:hAnsi="宋体"/>
                <w:sz w:val="24"/>
              </w:rPr>
              <w:t>风险加权余额</w:t>
            </w:r>
          </w:p>
          <w:p>
            <w:pPr>
              <w:spacing w:line="320" w:lineRule="exact"/>
              <w:jc w:val="center"/>
              <w:rPr>
                <w:rFonts w:ascii="宋体" w:hAnsi="宋体"/>
                <w:sz w:val="24"/>
              </w:rPr>
            </w:pPr>
            <w:r>
              <w:rPr>
                <w:rFonts w:ascii="宋体" w:hAnsi="宋体"/>
                <w:sz w:val="24"/>
              </w:rPr>
              <w:t>上限</w:t>
            </w:r>
            <w:r>
              <w:rPr>
                <w:rStyle w:val="16"/>
                <w:rFonts w:ascii="宋体" w:hAnsi="宋体"/>
                <w:sz w:val="24"/>
              </w:rPr>
              <w:footnoteReference w:id="3"/>
            </w:r>
          </w:p>
        </w:tc>
        <w:tc>
          <w:tcPr>
            <w:tcW w:w="5181" w:type="dxa"/>
            <w:gridSpan w:val="6"/>
            <w:vAlign w:val="center"/>
          </w:tcPr>
          <w:p>
            <w:pPr>
              <w:spacing w:line="32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959" w:type="dxa"/>
            <w:vMerge w:val="restart"/>
            <w:vAlign w:val="center"/>
          </w:tcPr>
          <w:p>
            <w:pPr>
              <w:spacing w:line="320" w:lineRule="exact"/>
              <w:jc w:val="center"/>
              <w:rPr>
                <w:rFonts w:ascii="宋体" w:hAnsi="宋体"/>
                <w:sz w:val="24"/>
              </w:rPr>
            </w:pPr>
            <w:r>
              <w:rPr>
                <w:rFonts w:hint="eastAsia" w:ascii="宋体" w:hAnsi="宋体"/>
                <w:sz w:val="24"/>
              </w:rPr>
              <w:t>跨境融资</w:t>
            </w:r>
            <w:r>
              <w:rPr>
                <w:rFonts w:ascii="宋体" w:hAnsi="宋体"/>
                <w:sz w:val="24"/>
              </w:rPr>
              <w:t>风险加权余额</w:t>
            </w:r>
          </w:p>
        </w:tc>
        <w:tc>
          <w:tcPr>
            <w:tcW w:w="2382" w:type="dxa"/>
            <w:gridSpan w:val="2"/>
            <w:tcBorders>
              <w:tl2br w:val="single" w:color="auto" w:sz="4" w:space="0"/>
            </w:tcBorders>
            <w:vAlign w:val="center"/>
          </w:tcPr>
          <w:p>
            <w:pPr>
              <w:spacing w:line="320" w:lineRule="exact"/>
              <w:jc w:val="center"/>
              <w:rPr>
                <w:rFonts w:ascii="宋体" w:hAnsi="宋体"/>
                <w:sz w:val="24"/>
              </w:rPr>
            </w:pPr>
          </w:p>
        </w:tc>
        <w:tc>
          <w:tcPr>
            <w:tcW w:w="1729" w:type="dxa"/>
            <w:gridSpan w:val="2"/>
            <w:vAlign w:val="center"/>
          </w:tcPr>
          <w:p>
            <w:pPr>
              <w:spacing w:line="240" w:lineRule="exact"/>
              <w:jc w:val="center"/>
              <w:rPr>
                <w:rFonts w:ascii="宋体" w:hAnsi="宋体"/>
                <w:sz w:val="24"/>
              </w:rPr>
            </w:pPr>
            <w:r>
              <w:rPr>
                <w:rFonts w:ascii="宋体" w:hAnsi="宋体"/>
                <w:sz w:val="24"/>
              </w:rPr>
              <w:t>中长期</w:t>
            </w:r>
          </w:p>
        </w:tc>
        <w:tc>
          <w:tcPr>
            <w:tcW w:w="1662" w:type="dxa"/>
            <w:gridSpan w:val="3"/>
            <w:vAlign w:val="center"/>
          </w:tcPr>
          <w:p>
            <w:pPr>
              <w:spacing w:line="240" w:lineRule="exact"/>
              <w:jc w:val="center"/>
              <w:rPr>
                <w:rFonts w:ascii="宋体" w:hAnsi="宋体"/>
                <w:sz w:val="24"/>
              </w:rPr>
            </w:pPr>
            <w:r>
              <w:rPr>
                <w:rFonts w:ascii="宋体" w:hAnsi="宋体"/>
                <w:sz w:val="24"/>
              </w:rPr>
              <w:t>短期</w:t>
            </w:r>
          </w:p>
        </w:tc>
        <w:tc>
          <w:tcPr>
            <w:tcW w:w="1790" w:type="dxa"/>
            <w:vAlign w:val="center"/>
          </w:tcPr>
          <w:p>
            <w:pPr>
              <w:jc w:val="center"/>
              <w:rPr>
                <w:rFonts w:ascii="宋体" w:hAnsi="宋体"/>
              </w:rPr>
            </w:pPr>
            <w:r>
              <w:rPr>
                <w:rFonts w:ascii="宋体" w:hAnsi="宋体"/>
                <w:sz w:val="24"/>
              </w:rPr>
              <w:t>外币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94" w:hRule="atLeast"/>
        </w:trPr>
        <w:tc>
          <w:tcPr>
            <w:tcW w:w="959" w:type="dxa"/>
            <w:vMerge w:val="continue"/>
            <w:vAlign w:val="center"/>
          </w:tcPr>
          <w:p>
            <w:pPr>
              <w:spacing w:line="320" w:lineRule="exact"/>
              <w:jc w:val="center"/>
              <w:rPr>
                <w:rFonts w:ascii="宋体" w:hAnsi="宋体"/>
                <w:sz w:val="24"/>
              </w:rPr>
            </w:pPr>
          </w:p>
        </w:tc>
        <w:tc>
          <w:tcPr>
            <w:tcW w:w="2382" w:type="dxa"/>
            <w:gridSpan w:val="2"/>
            <w:vAlign w:val="center"/>
          </w:tcPr>
          <w:p>
            <w:pPr>
              <w:spacing w:line="320" w:lineRule="exact"/>
              <w:jc w:val="center"/>
              <w:rPr>
                <w:rFonts w:ascii="宋体" w:hAnsi="宋体"/>
                <w:sz w:val="24"/>
              </w:rPr>
            </w:pPr>
            <w:r>
              <w:rPr>
                <w:rFonts w:ascii="宋体" w:hAnsi="宋体"/>
                <w:sz w:val="24"/>
              </w:rPr>
              <w:t>现有</w:t>
            </w:r>
            <w:r>
              <w:rPr>
                <w:rFonts w:hint="eastAsia" w:ascii="宋体" w:hAnsi="宋体"/>
                <w:sz w:val="24"/>
              </w:rPr>
              <w:t>跨境融资</w:t>
            </w:r>
            <w:r>
              <w:rPr>
                <w:rFonts w:ascii="宋体" w:hAnsi="宋体"/>
                <w:sz w:val="24"/>
              </w:rPr>
              <w:t>余额</w:t>
            </w:r>
          </w:p>
        </w:tc>
        <w:tc>
          <w:tcPr>
            <w:tcW w:w="1729" w:type="dxa"/>
            <w:gridSpan w:val="2"/>
            <w:vAlign w:val="center"/>
          </w:tcPr>
          <w:p>
            <w:pPr>
              <w:spacing w:line="320" w:lineRule="exact"/>
              <w:jc w:val="center"/>
              <w:rPr>
                <w:rFonts w:ascii="宋体" w:hAnsi="宋体"/>
                <w:sz w:val="24"/>
              </w:rPr>
            </w:pPr>
          </w:p>
        </w:tc>
        <w:tc>
          <w:tcPr>
            <w:tcW w:w="1662" w:type="dxa"/>
            <w:gridSpan w:val="3"/>
            <w:vAlign w:val="center"/>
          </w:tcPr>
          <w:p>
            <w:pPr>
              <w:spacing w:line="320" w:lineRule="exact"/>
              <w:jc w:val="center"/>
              <w:rPr>
                <w:rFonts w:ascii="宋体" w:hAnsi="宋体"/>
                <w:sz w:val="24"/>
              </w:rPr>
            </w:pPr>
          </w:p>
        </w:tc>
        <w:tc>
          <w:tcPr>
            <w:tcW w:w="1790" w:type="dxa"/>
            <w:vAlign w:val="center"/>
          </w:tcPr>
          <w:p>
            <w:pPr>
              <w:spacing w:line="32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trPr>
        <w:tc>
          <w:tcPr>
            <w:tcW w:w="959" w:type="dxa"/>
            <w:vMerge w:val="continue"/>
            <w:vAlign w:val="center"/>
          </w:tcPr>
          <w:p>
            <w:pPr>
              <w:spacing w:line="320" w:lineRule="exact"/>
              <w:jc w:val="center"/>
              <w:rPr>
                <w:rFonts w:ascii="宋体" w:hAnsi="宋体"/>
                <w:sz w:val="24"/>
              </w:rPr>
            </w:pPr>
          </w:p>
        </w:tc>
        <w:tc>
          <w:tcPr>
            <w:tcW w:w="2382" w:type="dxa"/>
            <w:gridSpan w:val="2"/>
            <w:vAlign w:val="center"/>
          </w:tcPr>
          <w:p>
            <w:pPr>
              <w:spacing w:line="320" w:lineRule="exact"/>
              <w:jc w:val="center"/>
              <w:rPr>
                <w:rFonts w:ascii="宋体" w:hAnsi="宋体"/>
                <w:sz w:val="24"/>
              </w:rPr>
            </w:pPr>
            <w:r>
              <w:rPr>
                <w:rFonts w:ascii="宋体" w:hAnsi="宋体"/>
                <w:sz w:val="24"/>
              </w:rPr>
              <w:t>本笔</w:t>
            </w:r>
            <w:r>
              <w:rPr>
                <w:rFonts w:hint="eastAsia" w:ascii="宋体" w:hAnsi="宋体"/>
                <w:sz w:val="24"/>
              </w:rPr>
              <w:t>跨境融资</w:t>
            </w:r>
            <w:r>
              <w:rPr>
                <w:rFonts w:ascii="宋体" w:hAnsi="宋体"/>
                <w:sz w:val="24"/>
              </w:rPr>
              <w:t>签约额</w:t>
            </w:r>
          </w:p>
        </w:tc>
        <w:tc>
          <w:tcPr>
            <w:tcW w:w="1729" w:type="dxa"/>
            <w:gridSpan w:val="2"/>
            <w:vAlign w:val="center"/>
          </w:tcPr>
          <w:p>
            <w:pPr>
              <w:spacing w:line="320" w:lineRule="exact"/>
              <w:jc w:val="center"/>
              <w:rPr>
                <w:rFonts w:ascii="宋体" w:hAnsi="宋体"/>
                <w:sz w:val="24"/>
              </w:rPr>
            </w:pPr>
          </w:p>
        </w:tc>
        <w:tc>
          <w:tcPr>
            <w:tcW w:w="1662" w:type="dxa"/>
            <w:gridSpan w:val="3"/>
            <w:vAlign w:val="center"/>
          </w:tcPr>
          <w:p>
            <w:pPr>
              <w:spacing w:line="320" w:lineRule="exact"/>
              <w:jc w:val="center"/>
              <w:rPr>
                <w:rFonts w:ascii="宋体" w:hAnsi="宋体"/>
                <w:sz w:val="24"/>
              </w:rPr>
            </w:pPr>
          </w:p>
        </w:tc>
        <w:tc>
          <w:tcPr>
            <w:tcW w:w="1790" w:type="dxa"/>
            <w:vAlign w:val="center"/>
          </w:tcPr>
          <w:p>
            <w:pPr>
              <w:spacing w:line="32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宋体" w:hAnsi="宋体"/>
                <w:sz w:val="24"/>
              </w:rPr>
            </w:pPr>
          </w:p>
        </w:tc>
        <w:tc>
          <w:tcPr>
            <w:tcW w:w="709" w:type="dxa"/>
            <w:vMerge w:val="restart"/>
            <w:vAlign w:val="center"/>
          </w:tcPr>
          <w:p>
            <w:pPr>
              <w:spacing w:line="320" w:lineRule="exact"/>
              <w:jc w:val="center"/>
              <w:rPr>
                <w:rFonts w:ascii="宋体" w:hAnsi="宋体"/>
                <w:sz w:val="24"/>
              </w:rPr>
            </w:pPr>
            <w:r>
              <w:rPr>
                <w:rFonts w:ascii="宋体" w:hAnsi="宋体"/>
                <w:sz w:val="24"/>
              </w:rPr>
              <w:t>不纳入计算的业务类型</w:t>
            </w:r>
          </w:p>
        </w:tc>
        <w:tc>
          <w:tcPr>
            <w:tcW w:w="1673" w:type="dxa"/>
            <w:tcBorders>
              <w:tl2br w:val="single" w:color="auto" w:sz="4" w:space="0"/>
            </w:tcBorders>
            <w:vAlign w:val="center"/>
          </w:tcPr>
          <w:p>
            <w:pPr>
              <w:spacing w:line="320" w:lineRule="exact"/>
              <w:jc w:val="center"/>
              <w:rPr>
                <w:rFonts w:ascii="宋体" w:hAnsi="宋体"/>
                <w:sz w:val="24"/>
              </w:rPr>
            </w:pPr>
          </w:p>
        </w:tc>
        <w:tc>
          <w:tcPr>
            <w:tcW w:w="1729" w:type="dxa"/>
            <w:gridSpan w:val="2"/>
            <w:vAlign w:val="center"/>
          </w:tcPr>
          <w:p>
            <w:pPr>
              <w:spacing w:line="240" w:lineRule="exact"/>
              <w:jc w:val="center"/>
              <w:rPr>
                <w:rFonts w:ascii="宋体" w:hAnsi="宋体"/>
                <w:sz w:val="24"/>
              </w:rPr>
            </w:pPr>
            <w:r>
              <w:rPr>
                <w:rFonts w:ascii="宋体" w:hAnsi="宋体"/>
                <w:sz w:val="24"/>
              </w:rPr>
              <w:t>中长期余额</w:t>
            </w:r>
          </w:p>
        </w:tc>
        <w:tc>
          <w:tcPr>
            <w:tcW w:w="1662" w:type="dxa"/>
            <w:gridSpan w:val="3"/>
            <w:vAlign w:val="center"/>
          </w:tcPr>
          <w:p>
            <w:pPr>
              <w:spacing w:line="240" w:lineRule="exact"/>
              <w:jc w:val="center"/>
              <w:rPr>
                <w:rFonts w:ascii="宋体" w:hAnsi="宋体"/>
                <w:sz w:val="24"/>
              </w:rPr>
            </w:pPr>
            <w:r>
              <w:rPr>
                <w:rFonts w:ascii="宋体" w:hAnsi="宋体"/>
                <w:sz w:val="24"/>
              </w:rPr>
              <w:t>短期余额</w:t>
            </w:r>
          </w:p>
        </w:tc>
        <w:tc>
          <w:tcPr>
            <w:tcW w:w="1790" w:type="dxa"/>
            <w:vAlign w:val="center"/>
          </w:tcPr>
          <w:p>
            <w:pPr>
              <w:jc w:val="center"/>
              <w:rPr>
                <w:rFonts w:ascii="宋体" w:hAnsi="宋体"/>
              </w:rPr>
            </w:pPr>
            <w:r>
              <w:rPr>
                <w:rFonts w:ascii="宋体" w:hAnsi="宋体"/>
                <w:sz w:val="24"/>
              </w:rPr>
              <w:t>外币余额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宋体" w:hAnsi="宋体"/>
                <w:sz w:val="24"/>
              </w:rPr>
            </w:pPr>
          </w:p>
        </w:tc>
        <w:tc>
          <w:tcPr>
            <w:tcW w:w="709" w:type="dxa"/>
            <w:vMerge w:val="continue"/>
            <w:vAlign w:val="center"/>
          </w:tcPr>
          <w:p>
            <w:pPr>
              <w:spacing w:line="320" w:lineRule="exact"/>
              <w:jc w:val="center"/>
              <w:rPr>
                <w:rFonts w:ascii="宋体" w:hAnsi="宋体"/>
                <w:sz w:val="24"/>
              </w:rPr>
            </w:pPr>
          </w:p>
        </w:tc>
        <w:tc>
          <w:tcPr>
            <w:tcW w:w="1673" w:type="dxa"/>
            <w:vAlign w:val="center"/>
          </w:tcPr>
          <w:p>
            <w:pPr>
              <w:spacing w:line="320" w:lineRule="exact"/>
              <w:jc w:val="center"/>
              <w:rPr>
                <w:rFonts w:ascii="宋体" w:hAnsi="宋体"/>
                <w:sz w:val="24"/>
              </w:rPr>
            </w:pPr>
          </w:p>
        </w:tc>
        <w:tc>
          <w:tcPr>
            <w:tcW w:w="1729" w:type="dxa"/>
            <w:gridSpan w:val="2"/>
            <w:vAlign w:val="center"/>
          </w:tcPr>
          <w:p>
            <w:pPr>
              <w:spacing w:line="320" w:lineRule="exact"/>
              <w:jc w:val="center"/>
              <w:rPr>
                <w:rFonts w:ascii="宋体" w:hAnsi="宋体"/>
                <w:sz w:val="24"/>
              </w:rPr>
            </w:pPr>
          </w:p>
        </w:tc>
        <w:tc>
          <w:tcPr>
            <w:tcW w:w="1662" w:type="dxa"/>
            <w:gridSpan w:val="3"/>
            <w:vAlign w:val="center"/>
          </w:tcPr>
          <w:p>
            <w:pPr>
              <w:spacing w:line="320" w:lineRule="exact"/>
              <w:jc w:val="center"/>
              <w:rPr>
                <w:rFonts w:ascii="宋体" w:hAnsi="宋体"/>
                <w:sz w:val="24"/>
              </w:rPr>
            </w:pPr>
          </w:p>
        </w:tc>
        <w:tc>
          <w:tcPr>
            <w:tcW w:w="1790" w:type="dxa"/>
            <w:vAlign w:val="center"/>
          </w:tcPr>
          <w:p>
            <w:pPr>
              <w:spacing w:line="32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宋体" w:hAnsi="宋体"/>
                <w:sz w:val="24"/>
              </w:rPr>
            </w:pPr>
          </w:p>
        </w:tc>
        <w:tc>
          <w:tcPr>
            <w:tcW w:w="709" w:type="dxa"/>
            <w:vMerge w:val="continue"/>
            <w:vAlign w:val="center"/>
          </w:tcPr>
          <w:p>
            <w:pPr>
              <w:spacing w:line="320" w:lineRule="exact"/>
              <w:jc w:val="center"/>
              <w:rPr>
                <w:rFonts w:ascii="宋体" w:hAnsi="宋体"/>
                <w:sz w:val="24"/>
              </w:rPr>
            </w:pPr>
          </w:p>
        </w:tc>
        <w:tc>
          <w:tcPr>
            <w:tcW w:w="1673" w:type="dxa"/>
            <w:vAlign w:val="center"/>
          </w:tcPr>
          <w:p>
            <w:pPr>
              <w:spacing w:line="320" w:lineRule="exact"/>
              <w:jc w:val="center"/>
              <w:rPr>
                <w:rFonts w:ascii="宋体" w:hAnsi="宋体"/>
                <w:sz w:val="24"/>
              </w:rPr>
            </w:pPr>
          </w:p>
        </w:tc>
        <w:tc>
          <w:tcPr>
            <w:tcW w:w="1729" w:type="dxa"/>
            <w:gridSpan w:val="2"/>
            <w:vAlign w:val="center"/>
          </w:tcPr>
          <w:p>
            <w:pPr>
              <w:spacing w:line="320" w:lineRule="exact"/>
              <w:jc w:val="center"/>
              <w:rPr>
                <w:rFonts w:ascii="宋体" w:hAnsi="宋体"/>
                <w:sz w:val="24"/>
              </w:rPr>
            </w:pPr>
          </w:p>
        </w:tc>
        <w:tc>
          <w:tcPr>
            <w:tcW w:w="1662" w:type="dxa"/>
            <w:gridSpan w:val="3"/>
            <w:vAlign w:val="center"/>
          </w:tcPr>
          <w:p>
            <w:pPr>
              <w:spacing w:line="320" w:lineRule="exact"/>
              <w:jc w:val="center"/>
              <w:rPr>
                <w:rFonts w:ascii="宋体" w:hAnsi="宋体"/>
                <w:sz w:val="24"/>
              </w:rPr>
            </w:pPr>
          </w:p>
        </w:tc>
        <w:tc>
          <w:tcPr>
            <w:tcW w:w="1790" w:type="dxa"/>
            <w:vAlign w:val="center"/>
          </w:tcPr>
          <w:p>
            <w:pPr>
              <w:spacing w:line="32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宋体" w:hAnsi="宋体"/>
                <w:sz w:val="24"/>
              </w:rPr>
            </w:pPr>
          </w:p>
        </w:tc>
        <w:tc>
          <w:tcPr>
            <w:tcW w:w="709" w:type="dxa"/>
            <w:vMerge w:val="continue"/>
            <w:vAlign w:val="center"/>
          </w:tcPr>
          <w:p>
            <w:pPr>
              <w:spacing w:line="320" w:lineRule="exact"/>
              <w:jc w:val="center"/>
              <w:rPr>
                <w:rFonts w:ascii="宋体" w:hAnsi="宋体"/>
                <w:sz w:val="24"/>
              </w:rPr>
            </w:pPr>
          </w:p>
        </w:tc>
        <w:tc>
          <w:tcPr>
            <w:tcW w:w="1673" w:type="dxa"/>
            <w:vAlign w:val="center"/>
          </w:tcPr>
          <w:p>
            <w:pPr>
              <w:spacing w:line="320" w:lineRule="exact"/>
              <w:jc w:val="center"/>
              <w:rPr>
                <w:rFonts w:ascii="宋体" w:hAnsi="宋体"/>
                <w:sz w:val="24"/>
              </w:rPr>
            </w:pPr>
          </w:p>
        </w:tc>
        <w:tc>
          <w:tcPr>
            <w:tcW w:w="1729" w:type="dxa"/>
            <w:gridSpan w:val="2"/>
            <w:vAlign w:val="center"/>
          </w:tcPr>
          <w:p>
            <w:pPr>
              <w:spacing w:line="320" w:lineRule="exact"/>
              <w:jc w:val="center"/>
              <w:rPr>
                <w:rFonts w:ascii="宋体" w:hAnsi="宋体"/>
                <w:sz w:val="24"/>
              </w:rPr>
            </w:pPr>
          </w:p>
        </w:tc>
        <w:tc>
          <w:tcPr>
            <w:tcW w:w="1662" w:type="dxa"/>
            <w:gridSpan w:val="3"/>
            <w:vAlign w:val="center"/>
          </w:tcPr>
          <w:p>
            <w:pPr>
              <w:spacing w:line="320" w:lineRule="exact"/>
              <w:jc w:val="center"/>
              <w:rPr>
                <w:rFonts w:ascii="宋体" w:hAnsi="宋体"/>
                <w:sz w:val="24"/>
              </w:rPr>
            </w:pPr>
          </w:p>
        </w:tc>
        <w:tc>
          <w:tcPr>
            <w:tcW w:w="1790" w:type="dxa"/>
            <w:vAlign w:val="center"/>
          </w:tcPr>
          <w:p>
            <w:pPr>
              <w:spacing w:line="32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宋体" w:hAnsi="宋体"/>
                <w:sz w:val="24"/>
              </w:rPr>
            </w:pPr>
          </w:p>
        </w:tc>
        <w:tc>
          <w:tcPr>
            <w:tcW w:w="2382" w:type="dxa"/>
            <w:gridSpan w:val="2"/>
            <w:vAlign w:val="center"/>
          </w:tcPr>
          <w:p>
            <w:pPr>
              <w:spacing w:line="320" w:lineRule="exact"/>
              <w:jc w:val="center"/>
              <w:rPr>
                <w:rFonts w:ascii="宋体" w:hAnsi="宋体"/>
                <w:sz w:val="24"/>
              </w:rPr>
            </w:pPr>
            <w:r>
              <w:rPr>
                <w:rFonts w:hint="eastAsia" w:ascii="宋体" w:hAnsi="宋体"/>
                <w:sz w:val="24"/>
              </w:rPr>
              <w:t>纳入计算的</w:t>
            </w:r>
            <w:r>
              <w:rPr>
                <w:rFonts w:ascii="宋体" w:hAnsi="宋体"/>
                <w:sz w:val="24"/>
              </w:rPr>
              <w:t>余额</w:t>
            </w:r>
            <w:r>
              <w:rPr>
                <w:rStyle w:val="16"/>
                <w:rFonts w:ascii="宋体" w:hAnsi="宋体"/>
                <w:sz w:val="24"/>
              </w:rPr>
              <w:footnoteReference w:id="4"/>
            </w:r>
          </w:p>
        </w:tc>
        <w:tc>
          <w:tcPr>
            <w:tcW w:w="1729" w:type="dxa"/>
            <w:gridSpan w:val="2"/>
            <w:vAlign w:val="center"/>
          </w:tcPr>
          <w:p>
            <w:pPr>
              <w:spacing w:line="320" w:lineRule="exact"/>
              <w:jc w:val="center"/>
              <w:rPr>
                <w:rFonts w:ascii="宋体" w:hAnsi="宋体"/>
                <w:sz w:val="24"/>
              </w:rPr>
            </w:pPr>
          </w:p>
        </w:tc>
        <w:tc>
          <w:tcPr>
            <w:tcW w:w="1662" w:type="dxa"/>
            <w:gridSpan w:val="3"/>
            <w:vAlign w:val="center"/>
          </w:tcPr>
          <w:p>
            <w:pPr>
              <w:spacing w:line="320" w:lineRule="exact"/>
              <w:jc w:val="center"/>
              <w:rPr>
                <w:rFonts w:ascii="宋体" w:hAnsi="宋体"/>
                <w:sz w:val="24"/>
              </w:rPr>
            </w:pPr>
          </w:p>
        </w:tc>
        <w:tc>
          <w:tcPr>
            <w:tcW w:w="1790" w:type="dxa"/>
            <w:vAlign w:val="center"/>
          </w:tcPr>
          <w:p>
            <w:pPr>
              <w:spacing w:line="32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宋体" w:hAnsi="宋体"/>
                <w:sz w:val="24"/>
              </w:rPr>
            </w:pPr>
          </w:p>
        </w:tc>
        <w:tc>
          <w:tcPr>
            <w:tcW w:w="2382" w:type="dxa"/>
            <w:gridSpan w:val="2"/>
            <w:vAlign w:val="center"/>
          </w:tcPr>
          <w:p>
            <w:pPr>
              <w:spacing w:line="320" w:lineRule="exact"/>
              <w:jc w:val="center"/>
              <w:rPr>
                <w:rFonts w:ascii="宋体" w:hAnsi="宋体"/>
                <w:sz w:val="24"/>
              </w:rPr>
            </w:pPr>
            <w:r>
              <w:rPr>
                <w:rFonts w:hint="eastAsia" w:ascii="宋体" w:hAnsi="宋体"/>
                <w:sz w:val="24"/>
              </w:rPr>
              <w:t>跨境融资</w:t>
            </w:r>
            <w:r>
              <w:rPr>
                <w:rFonts w:ascii="宋体" w:hAnsi="宋体"/>
                <w:sz w:val="24"/>
              </w:rPr>
              <w:t>风险加权余额</w:t>
            </w:r>
            <w:r>
              <w:rPr>
                <w:rStyle w:val="16"/>
                <w:rFonts w:ascii="宋体" w:hAnsi="宋体"/>
                <w:sz w:val="24"/>
              </w:rPr>
              <w:footnoteReference w:id="5"/>
            </w:r>
          </w:p>
        </w:tc>
        <w:tc>
          <w:tcPr>
            <w:tcW w:w="5181" w:type="dxa"/>
            <w:gridSpan w:val="6"/>
            <w:vAlign w:val="center"/>
          </w:tcPr>
          <w:p>
            <w:pPr>
              <w:spacing w:line="32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3341" w:type="dxa"/>
            <w:gridSpan w:val="3"/>
            <w:vAlign w:val="center"/>
          </w:tcPr>
          <w:p>
            <w:pPr>
              <w:spacing w:line="320" w:lineRule="exact"/>
              <w:jc w:val="left"/>
              <w:rPr>
                <w:rFonts w:ascii="宋体" w:hAnsi="宋体"/>
                <w:sz w:val="24"/>
              </w:rPr>
            </w:pPr>
            <w:r>
              <w:rPr>
                <w:rFonts w:hint="eastAsia" w:ascii="宋体" w:hAnsi="宋体"/>
                <w:sz w:val="24"/>
              </w:rPr>
              <w:t>跨境融资</w:t>
            </w:r>
            <w:r>
              <w:rPr>
                <w:rFonts w:ascii="宋体" w:hAnsi="宋体"/>
                <w:sz w:val="24"/>
              </w:rPr>
              <w:t>风险加权余额上限与</w:t>
            </w:r>
            <w:r>
              <w:rPr>
                <w:rFonts w:hint="eastAsia" w:ascii="宋体" w:hAnsi="宋体"/>
                <w:sz w:val="24"/>
              </w:rPr>
              <w:t>跨境融资</w:t>
            </w:r>
            <w:r>
              <w:rPr>
                <w:rFonts w:ascii="宋体" w:hAnsi="宋体"/>
                <w:sz w:val="24"/>
              </w:rPr>
              <w:t>风险加权余额之差额</w:t>
            </w:r>
          </w:p>
        </w:tc>
        <w:tc>
          <w:tcPr>
            <w:tcW w:w="1729" w:type="dxa"/>
            <w:gridSpan w:val="2"/>
            <w:vAlign w:val="center"/>
          </w:tcPr>
          <w:p>
            <w:pPr>
              <w:spacing w:line="320" w:lineRule="exact"/>
              <w:ind w:firstLine="480" w:firstLineChars="200"/>
              <w:jc w:val="left"/>
              <w:rPr>
                <w:rFonts w:ascii="宋体" w:hAnsi="宋体"/>
                <w:sz w:val="24"/>
              </w:rPr>
            </w:pPr>
          </w:p>
        </w:tc>
        <w:tc>
          <w:tcPr>
            <w:tcW w:w="1639" w:type="dxa"/>
            <w:gridSpan w:val="2"/>
            <w:vAlign w:val="center"/>
          </w:tcPr>
          <w:p>
            <w:pPr>
              <w:spacing w:line="320" w:lineRule="exact"/>
              <w:jc w:val="center"/>
              <w:rPr>
                <w:rFonts w:ascii="宋体" w:hAnsi="宋体"/>
                <w:sz w:val="24"/>
              </w:rPr>
            </w:pPr>
            <w:r>
              <w:rPr>
                <w:rFonts w:ascii="宋体" w:hAnsi="宋体"/>
                <w:sz w:val="24"/>
              </w:rPr>
              <w:t>是否超上限</w:t>
            </w:r>
          </w:p>
        </w:tc>
        <w:tc>
          <w:tcPr>
            <w:tcW w:w="1813" w:type="dxa"/>
            <w:gridSpan w:val="2"/>
            <w:vAlign w:val="center"/>
          </w:tcPr>
          <w:p>
            <w:pPr>
              <w:spacing w:line="320" w:lineRule="exact"/>
              <w:jc w:val="left"/>
              <w:rPr>
                <w:rFonts w:ascii="宋体" w:hAnsi="宋体"/>
                <w:sz w:val="24"/>
              </w:rPr>
            </w:pPr>
            <w:r>
              <w:rPr>
                <w:rFonts w:ascii="宋体" w:hAnsi="宋体"/>
                <w:sz w:val="24"/>
              </w:rPr>
              <w:t>是（ ）否（</w:t>
            </w:r>
            <w:r>
              <w:rPr>
                <w:rFonts w:hint="eastAsia" w:ascii="宋体" w:hAnsi="宋体"/>
                <w:sz w:val="24"/>
              </w:rPr>
              <w:t xml:space="preserve"> </w:t>
            </w:r>
            <w:r>
              <w:rPr>
                <w:rFonts w:ascii="宋体" w:hAnsi="宋体"/>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522" w:type="dxa"/>
            <w:gridSpan w:val="9"/>
            <w:vAlign w:val="center"/>
          </w:tcPr>
          <w:p>
            <w:pPr>
              <w:spacing w:line="320" w:lineRule="exact"/>
              <w:ind w:firstLine="480" w:firstLineChars="200"/>
              <w:jc w:val="left"/>
              <w:rPr>
                <w:rFonts w:ascii="宋体" w:hAnsi="宋体"/>
                <w:sz w:val="24"/>
              </w:rPr>
            </w:pPr>
            <w:r>
              <w:rPr>
                <w:rFonts w:ascii="宋体" w:hAnsi="宋体"/>
                <w:sz w:val="24"/>
              </w:rPr>
              <w:t xml:space="preserve">以上信息真实有效，本机构将严格按照相关规定认真履行相关职责，并及时准确地报送相关信息。                                 </w:t>
            </w:r>
          </w:p>
          <w:p>
            <w:pPr>
              <w:spacing w:line="320" w:lineRule="exact"/>
              <w:ind w:right="480" w:firstLine="480" w:firstLineChars="200"/>
              <w:jc w:val="center"/>
              <w:rPr>
                <w:rFonts w:ascii="宋体" w:hAnsi="宋体"/>
                <w:sz w:val="24"/>
              </w:rPr>
            </w:pPr>
            <w:r>
              <w:rPr>
                <w:rFonts w:hint="eastAsia" w:ascii="宋体" w:hAnsi="宋体"/>
                <w:sz w:val="24"/>
              </w:rPr>
              <w:t xml:space="preserve">                   </w:t>
            </w:r>
            <w:r>
              <w:rPr>
                <w:rFonts w:ascii="宋体" w:hAnsi="宋体"/>
                <w:sz w:val="24"/>
              </w:rPr>
              <w:t>（公章）</w:t>
            </w:r>
          </w:p>
          <w:p>
            <w:pPr>
              <w:spacing w:line="320" w:lineRule="exact"/>
              <w:ind w:right="420" w:firstLine="4620" w:firstLineChars="2200"/>
              <w:rPr>
                <w:rFonts w:ascii="宋体" w:hAnsi="宋体"/>
                <w:sz w:val="24"/>
              </w:rPr>
            </w:pPr>
            <w:r>
              <w:t>年</w:t>
            </w:r>
            <w:r>
              <w:rPr>
                <w:rFonts w:hint="eastAsia"/>
              </w:rPr>
              <w:t xml:space="preserve">    </w:t>
            </w:r>
            <w:r>
              <w:t>月</w:t>
            </w:r>
            <w:r>
              <w:rPr>
                <w:rFonts w:hint="eastAsia"/>
              </w:rPr>
              <w:t xml:space="preserve">    </w:t>
            </w:r>
            <w:r>
              <w:t>日</w:t>
            </w:r>
            <w:r>
              <w:rPr>
                <w:rFonts w:hint="eastAsia"/>
              </w:rPr>
              <w:t xml:space="preserve"> </w:t>
            </w:r>
            <w:r>
              <w:rPr>
                <w:rFonts w:ascii="宋体" w:hAnsi="宋体"/>
                <w:sz w:val="24"/>
              </w:rPr>
              <w:t xml:space="preserve">            </w:t>
            </w:r>
          </w:p>
          <w:p>
            <w:pPr>
              <w:spacing w:line="320" w:lineRule="exact"/>
              <w:ind w:firstLine="480" w:firstLineChars="200"/>
              <w:jc w:val="left"/>
              <w:rPr>
                <w:rFonts w:ascii="宋体" w:hAnsi="宋体"/>
                <w:sz w:val="24"/>
              </w:rPr>
            </w:pPr>
          </w:p>
        </w:tc>
      </w:tr>
    </w:tbl>
    <w:p>
      <w:pPr>
        <w:widowControl/>
        <w:spacing w:line="384" w:lineRule="auto"/>
        <w:ind w:firstLine="480" w:firstLineChars="200"/>
        <w:rPr>
          <w:sz w:val="24"/>
        </w:rPr>
      </w:pPr>
      <w:r>
        <w:rPr>
          <w:rFonts w:ascii="宋体" w:hAnsi="宋体"/>
          <w:sz w:val="24"/>
        </w:rPr>
        <w:t>联系人：                    联系电话：</w:t>
      </w:r>
      <w:bookmarkEnd w:id="4"/>
      <w:r>
        <w:rPr>
          <w:rFonts w:hint="eastAsia" w:ascii="仿宋_GB2312" w:hAnsi="ˎ̥" w:eastAsia="仿宋_GB2312" w:cs="宋体"/>
          <w:kern w:val="0"/>
          <w:sz w:val="30"/>
          <w:szCs w:val="30"/>
        </w:rPr>
        <w:br w:type="page"/>
      </w:r>
    </w:p>
    <w:p>
      <w:pPr>
        <w:ind w:firstLine="720" w:firstLineChars="200"/>
        <w:rPr>
          <w:rFonts w:ascii="Times New Roman" w:hAnsi="Times New Roman" w:eastAsia="黑体"/>
          <w:sz w:val="36"/>
          <w:szCs w:val="36"/>
        </w:rPr>
      </w:pPr>
    </w:p>
    <w:p>
      <w:pPr>
        <w:ind w:firstLine="720" w:firstLineChars="200"/>
        <w:rPr>
          <w:rFonts w:ascii="Times New Roman" w:hAnsi="Times New Roman" w:eastAsia="黑体"/>
          <w:sz w:val="36"/>
          <w:szCs w:val="36"/>
        </w:rPr>
      </w:pPr>
      <w:r>
        <w:rPr>
          <w:rFonts w:hint="eastAsia" w:ascii="Times New Roman" w:hAnsi="Times New Roman" w:eastAsia="黑体"/>
          <w:sz w:val="36"/>
          <w:szCs w:val="36"/>
        </w:rPr>
        <w:t>跨国公司跨境资金集中运营业务办理确认书</w:t>
      </w:r>
    </w:p>
    <w:p>
      <w:pPr>
        <w:ind w:firstLine="600" w:firstLineChars="200"/>
        <w:rPr>
          <w:rFonts w:ascii="Times New Roman" w:hAnsi="Times New Roman" w:eastAsia="仿宋_GB2312"/>
          <w:sz w:val="30"/>
          <w:szCs w:val="30"/>
        </w:rPr>
      </w:pP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本单位已知晓</w:t>
      </w:r>
      <w:r>
        <w:rPr>
          <w:rFonts w:hint="eastAsia" w:ascii="Times New Roman" w:hAnsi="Times New Roman" w:eastAsia="仿宋_GB2312"/>
          <w:sz w:val="30"/>
        </w:rPr>
        <w:t>跨国公司跨境资金集中运营管理</w:t>
      </w:r>
      <w:r>
        <w:rPr>
          <w:rFonts w:hint="eastAsia" w:ascii="Times New Roman" w:hAnsi="Times New Roman" w:eastAsia="仿宋_GB2312"/>
          <w:sz w:val="30"/>
          <w:szCs w:val="30"/>
        </w:rPr>
        <w:t>政策及相关要求，仔细阅读本确认书告知和提示的本单位义务以及外汇局监管要求。承诺将：</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一、依法合规开展</w:t>
      </w:r>
      <w:r>
        <w:rPr>
          <w:rFonts w:hint="eastAsia" w:ascii="Times New Roman" w:hAnsi="Times New Roman" w:eastAsia="仿宋_GB2312"/>
          <w:sz w:val="30"/>
        </w:rPr>
        <w:t>跨境资金集中运营业务</w:t>
      </w:r>
      <w:r>
        <w:rPr>
          <w:rFonts w:hint="eastAsia" w:ascii="Times New Roman" w:hAnsi="Times New Roman" w:eastAsia="仿宋_GB2312"/>
          <w:sz w:val="30"/>
          <w:szCs w:val="30"/>
        </w:rPr>
        <w:t>。在满足下列要求前提下，享有按照政策规定的便利措施办理相关业务的权利：签署本确认书，严格按照要求办理业务，合规经营等。</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二、按外汇局政策规定及时、准确、完整地报送业务数据；不使用虚假合同或者构造交易办理业务，接受并配合外汇局对本单位的监督检查，及时、如实说明情况并提供相关单证资料。</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三、理解并接受外汇局根据国际收支形势对政策和业务进行适时调整。</w:t>
      </w:r>
      <w:r>
        <w:rPr>
          <w:rFonts w:hint="eastAsia" w:ascii="Times New Roman" w:hAnsi="Times New Roman" w:eastAsia="黑体"/>
          <w:sz w:val="30"/>
          <w:szCs w:val="30"/>
        </w:rPr>
        <w:t>遵守外汇局关于外债和境外放款宏观审慎调节参数和杠杆率调整要求。自行承担由于外汇局调整政策以及本单位违规行为而引起的相关损失。</w:t>
      </w:r>
      <w:r>
        <w:rPr>
          <w:rFonts w:hint="eastAsia" w:ascii="Times New Roman" w:hAnsi="Times New Roman" w:eastAsia="仿宋_GB2312"/>
          <w:sz w:val="30"/>
          <w:szCs w:val="30"/>
        </w:rPr>
        <w:t>违反政策及相关要求的，接受外汇局依法实施的包括行政处罚、暂停或终止业务、对外公布相关处罚决定等在内的处理措施。</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四、本确认书适用于</w:t>
      </w:r>
      <w:r>
        <w:rPr>
          <w:rFonts w:hint="eastAsia" w:ascii="Times New Roman" w:hAnsi="Times New Roman" w:eastAsia="仿宋_GB2312"/>
          <w:sz w:val="30"/>
        </w:rPr>
        <w:t>跨国公司跨境资金集中运营</w:t>
      </w:r>
      <w:r>
        <w:rPr>
          <w:rFonts w:hint="eastAsia" w:ascii="Times New Roman" w:hAnsi="Times New Roman" w:eastAsia="仿宋_GB2312"/>
          <w:sz w:val="30"/>
          <w:szCs w:val="30"/>
        </w:rPr>
        <w:t>业务；本确认书未尽事项，按照有关外汇管理法规规定执行。</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五、本确认书适用于本单位及所属成员单位，自签署时生效。本单位将认真学习并遵守相关政策及要求，积极支持配合外汇局对</w:t>
      </w:r>
      <w:r>
        <w:rPr>
          <w:rFonts w:hint="eastAsia" w:ascii="Times New Roman" w:hAnsi="Times New Roman" w:eastAsia="仿宋_GB2312"/>
          <w:sz w:val="30"/>
        </w:rPr>
        <w:t>跨国公司跨境资金集中运营业务</w:t>
      </w:r>
      <w:r>
        <w:rPr>
          <w:rFonts w:hint="eastAsia" w:ascii="Times New Roman" w:hAnsi="Times New Roman" w:eastAsia="仿宋_GB2312"/>
          <w:sz w:val="30"/>
          <w:szCs w:val="30"/>
        </w:rPr>
        <w:t>的管理。</w:t>
      </w:r>
    </w:p>
    <w:p>
      <w:pPr>
        <w:ind w:firstLine="600" w:firstLineChars="200"/>
        <w:rPr>
          <w:rFonts w:ascii="Times New Roman" w:hAnsi="Times New Roman" w:eastAsia="仿宋_GB2312"/>
          <w:sz w:val="30"/>
          <w:szCs w:val="30"/>
        </w:rPr>
      </w:pP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企业（公章）：                 银行（公章）：</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法定代表人（签字）：           负责人（签字）：</w:t>
      </w:r>
    </w:p>
    <w:p>
      <w:pPr>
        <w:ind w:firstLine="1050" w:firstLineChars="350"/>
        <w:rPr>
          <w:rFonts w:ascii="Times New Roman" w:hAnsi="Times New Roman" w:eastAsia="仿宋_GB2312"/>
          <w:sz w:val="30"/>
          <w:szCs w:val="30"/>
        </w:rPr>
      </w:pPr>
      <w:r>
        <w:rPr>
          <w:rFonts w:hint="eastAsia" w:ascii="Times New Roman" w:hAnsi="Times New Roman" w:eastAsia="仿宋_GB2312"/>
          <w:sz w:val="30"/>
          <w:szCs w:val="30"/>
        </w:rPr>
        <w:t>年  月  日                    年  月  日</w:t>
      </w:r>
    </w:p>
    <w:p>
      <w:pPr>
        <w:ind w:firstLine="600" w:firstLineChars="200"/>
        <w:rPr>
          <w:rFonts w:ascii="Times New Roman" w:hAnsi="Times New Roman" w:eastAsia="仿宋_GB2312"/>
          <w:sz w:val="30"/>
          <w:szCs w:val="30"/>
        </w:rPr>
      </w:pPr>
    </w:p>
    <w:p>
      <w:pPr>
        <w:ind w:firstLine="600" w:firstLineChars="200"/>
        <w:rPr>
          <w:rFonts w:ascii="Times New Roman" w:hAnsi="Times New Roman" w:eastAsia="仿宋_GB2312"/>
          <w:sz w:val="30"/>
          <w:szCs w:val="30"/>
        </w:rPr>
      </w:pPr>
    </w:p>
    <w:tbl>
      <w:tblPr>
        <w:tblStyle w:val="13"/>
        <w:tblW w:w="8197" w:type="dxa"/>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97" w:type="dxa"/>
          </w:tcPr>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为进一步促进贸易投资便利化，外汇局依法制定本确认书，提示企业、银行在开展</w:t>
            </w:r>
            <w:r>
              <w:rPr>
                <w:rFonts w:hint="eastAsia" w:ascii="Times New Roman" w:hAnsi="Times New Roman" w:eastAsia="仿宋_GB2312"/>
                <w:sz w:val="30"/>
              </w:rPr>
              <w:t>跨国公司跨境资金集中运营业务</w:t>
            </w:r>
            <w:r>
              <w:rPr>
                <w:rFonts w:hint="eastAsia" w:ascii="Times New Roman" w:hAnsi="Times New Roman" w:eastAsia="仿宋_GB2312"/>
                <w:sz w:val="30"/>
                <w:szCs w:val="30"/>
              </w:rPr>
              <w:t>中依法享有的权利和应当承担的义务。企业、银行签署本确认书并认真执行，享有按照跨境</w:t>
            </w:r>
            <w:r>
              <w:rPr>
                <w:rFonts w:hint="eastAsia" w:ascii="Times New Roman" w:hAnsi="Times New Roman" w:eastAsia="仿宋_GB2312"/>
                <w:sz w:val="30"/>
              </w:rPr>
              <w:t>资金集中运营管理</w:t>
            </w:r>
            <w:r>
              <w:rPr>
                <w:rFonts w:hint="eastAsia" w:ascii="Times New Roman" w:hAnsi="Times New Roman" w:eastAsia="仿宋_GB2312"/>
                <w:sz w:val="30"/>
                <w:szCs w:val="30"/>
              </w:rPr>
              <w:t>规定的便利措施办理相关业务的权利。</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外汇局根据国际收支形势等具体情况，制定、调整</w:t>
            </w:r>
            <w:r>
              <w:rPr>
                <w:rFonts w:hint="eastAsia" w:ascii="Times New Roman" w:hAnsi="Times New Roman" w:eastAsia="仿宋_GB2312"/>
                <w:sz w:val="30"/>
              </w:rPr>
              <w:t>跨国公司跨境资金集中运营管理</w:t>
            </w:r>
            <w:r>
              <w:rPr>
                <w:rFonts w:hint="eastAsia" w:ascii="Times New Roman" w:hAnsi="Times New Roman" w:eastAsia="仿宋_GB2312"/>
                <w:sz w:val="30"/>
                <w:szCs w:val="30"/>
              </w:rPr>
              <w:t>政策，并依法予以告知。</w:t>
            </w:r>
          </w:p>
          <w:p>
            <w:pPr>
              <w:ind w:firstLine="600" w:firstLineChars="200"/>
              <w:rPr>
                <w:rFonts w:ascii="Times New Roman" w:hAnsi="Times New Roman" w:eastAsia="仿宋_GB2312"/>
                <w:b/>
                <w:bCs/>
                <w:sz w:val="30"/>
                <w:szCs w:val="30"/>
              </w:rPr>
            </w:pPr>
            <w:r>
              <w:rPr>
                <w:rFonts w:hint="eastAsia" w:ascii="Times New Roman" w:hAnsi="Times New Roman" w:eastAsia="仿宋_GB2312"/>
                <w:sz w:val="30"/>
                <w:szCs w:val="30"/>
              </w:rPr>
              <w:t>外汇局依法对跨国公司跨境</w:t>
            </w:r>
            <w:r>
              <w:rPr>
                <w:rFonts w:hint="eastAsia" w:ascii="Times New Roman" w:hAnsi="Times New Roman" w:eastAsia="仿宋_GB2312"/>
                <w:sz w:val="30"/>
              </w:rPr>
              <w:t>资金集中运营业务</w:t>
            </w:r>
            <w:r>
              <w:rPr>
                <w:rFonts w:hint="eastAsia" w:ascii="Times New Roman" w:hAnsi="Times New Roman" w:eastAsia="仿宋_GB2312"/>
                <w:sz w:val="30"/>
                <w:szCs w:val="30"/>
              </w:rPr>
              <w:t>进行监督检查。对企业、银行违规行为，按照《中华人民共和国外汇管理条例》等法规规定进行行政处罚。</w:t>
            </w:r>
          </w:p>
        </w:tc>
      </w:tr>
    </w:tbl>
    <w:p>
      <w:pPr>
        <w:widowControl/>
        <w:jc w:val="left"/>
        <w:rPr>
          <w:rFonts w:hint="eastAsia" w:ascii="仿宋_GB2312" w:hAnsi="ˎ̥" w:eastAsia="仿宋_GB2312" w:cs="宋体"/>
          <w:kern w:val="0"/>
          <w:sz w:val="30"/>
          <w:szCs w:val="30"/>
        </w:rPr>
      </w:pPr>
    </w:p>
    <w:p>
      <w:pPr>
        <w:rPr>
          <w:rFonts w:hint="eastAsia" w:ascii="仿宋_GB2312" w:hAnsi="ˎ̥" w:eastAsia="仿宋_GB2312" w:cs="宋体"/>
          <w:kern w:val="0"/>
          <w:sz w:val="30"/>
          <w:szCs w:val="30"/>
        </w:rPr>
      </w:pPr>
    </w:p>
    <w:p>
      <w:pPr>
        <w:widowControl/>
        <w:jc w:val="left"/>
        <w:rPr>
          <w:rFonts w:hint="eastAsia" w:ascii="仿宋_GB2312" w:hAnsi="ˎ̥" w:eastAsia="仿宋_GB2312" w:cs="宋体"/>
          <w:kern w:val="0"/>
          <w:sz w:val="30"/>
          <w:szCs w:val="30"/>
        </w:rPr>
      </w:pPr>
    </w:p>
    <w:sectPr>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0"/>
        <w:rPr>
          <w:rFonts w:ascii="宋体" w:hAnsi="宋体"/>
          <w:sz w:val="21"/>
          <w:szCs w:val="21"/>
        </w:rPr>
      </w:pPr>
      <w:r>
        <w:rPr>
          <w:rStyle w:val="16"/>
          <w:rFonts w:ascii="宋体" w:hAnsi="宋体"/>
          <w:sz w:val="21"/>
          <w:szCs w:val="21"/>
        </w:rPr>
        <w:footnoteRef/>
      </w:r>
      <w:r>
        <w:rPr>
          <w:rFonts w:hint="eastAsia" w:ascii="宋体" w:hAnsi="宋体"/>
          <w:sz w:val="21"/>
          <w:szCs w:val="21"/>
        </w:rPr>
        <w:t>外币跨境融资以签约日的汇率水平折算。</w:t>
      </w:r>
    </w:p>
  </w:footnote>
  <w:footnote w:id="1">
    <w:p>
      <w:pPr>
        <w:pStyle w:val="10"/>
        <w:rPr>
          <w:rFonts w:ascii="宋体" w:hAnsi="宋体"/>
          <w:sz w:val="21"/>
          <w:szCs w:val="21"/>
        </w:rPr>
      </w:pPr>
      <w:r>
        <w:rPr>
          <w:rStyle w:val="16"/>
          <w:rFonts w:ascii="宋体" w:hAnsi="宋体"/>
          <w:sz w:val="21"/>
          <w:szCs w:val="21"/>
        </w:rPr>
        <w:footnoteRef/>
      </w:r>
      <w:r>
        <w:rPr>
          <w:rFonts w:hint="eastAsia" w:ascii="宋体" w:hAnsi="宋体"/>
          <w:sz w:val="21"/>
          <w:szCs w:val="21"/>
        </w:rPr>
        <w:t xml:space="preserve"> 债务人类型请按以下分类填写：中资企业、外资企业。</w:t>
      </w:r>
    </w:p>
  </w:footnote>
  <w:footnote w:id="2">
    <w:p>
      <w:pPr>
        <w:pStyle w:val="10"/>
        <w:rPr>
          <w:rFonts w:ascii="宋体" w:hAnsi="宋体"/>
          <w:sz w:val="21"/>
          <w:szCs w:val="21"/>
        </w:rPr>
      </w:pPr>
      <w:r>
        <w:rPr>
          <w:rStyle w:val="16"/>
          <w:rFonts w:ascii="宋体" w:hAnsi="宋体"/>
          <w:sz w:val="21"/>
          <w:szCs w:val="21"/>
        </w:rPr>
        <w:footnoteRef/>
      </w:r>
      <w:r>
        <w:rPr>
          <w:rFonts w:hint="eastAsia" w:ascii="宋体" w:hAnsi="宋体"/>
          <w:sz w:val="21"/>
          <w:szCs w:val="21"/>
        </w:rPr>
        <w:t>根据债务人上年度或最新的经审计的会计报表填写。</w:t>
      </w:r>
    </w:p>
  </w:footnote>
  <w:footnote w:id="3">
    <w:p>
      <w:pPr>
        <w:pStyle w:val="10"/>
        <w:rPr>
          <w:rFonts w:ascii="宋体" w:hAnsi="宋体"/>
          <w:sz w:val="21"/>
          <w:szCs w:val="21"/>
        </w:rPr>
      </w:pPr>
      <w:r>
        <w:rPr>
          <w:rStyle w:val="16"/>
          <w:rFonts w:ascii="宋体" w:hAnsi="宋体"/>
          <w:sz w:val="21"/>
          <w:szCs w:val="21"/>
        </w:rPr>
        <w:footnoteRef/>
      </w:r>
      <w:r>
        <w:rPr>
          <w:rFonts w:hint="eastAsia" w:ascii="宋体" w:hAnsi="宋体"/>
          <w:sz w:val="21"/>
          <w:szCs w:val="21"/>
        </w:rPr>
        <w:t>跨境融资风险加权余额上限=净资产×外债杠杆率×宏观审慎调节参数。其中，宏观审慎调节参数为1.25，外债杠杆率为2。</w:t>
      </w:r>
    </w:p>
  </w:footnote>
  <w:footnote w:id="4">
    <w:p>
      <w:pPr>
        <w:pStyle w:val="10"/>
        <w:rPr>
          <w:rFonts w:ascii="宋体" w:hAnsi="宋体"/>
          <w:sz w:val="21"/>
          <w:szCs w:val="21"/>
        </w:rPr>
      </w:pPr>
      <w:r>
        <w:rPr>
          <w:rStyle w:val="16"/>
          <w:rFonts w:ascii="宋体" w:hAnsi="宋体"/>
          <w:sz w:val="21"/>
          <w:szCs w:val="21"/>
        </w:rPr>
        <w:footnoteRef/>
      </w:r>
      <w:r>
        <w:rPr>
          <w:rFonts w:hint="eastAsia" w:ascii="宋体" w:hAnsi="宋体"/>
          <w:sz w:val="21"/>
          <w:szCs w:val="21"/>
        </w:rPr>
        <w:t xml:space="preserve">纳入计算的中长期外债余额= 中长期现有外债余额 + 中长期本笔外债签约额 </w:t>
      </w:r>
      <w:r>
        <w:rPr>
          <w:rFonts w:ascii="宋体" w:hAnsi="宋体"/>
          <w:sz w:val="21"/>
          <w:szCs w:val="21"/>
        </w:rPr>
        <w:t>–</w:t>
      </w:r>
      <w:r>
        <w:rPr>
          <w:rFonts w:hint="eastAsia" w:ascii="宋体" w:hAnsi="宋体"/>
          <w:sz w:val="21"/>
          <w:szCs w:val="21"/>
        </w:rPr>
        <w:t xml:space="preserve"> 不纳入计算的业务类型的中长期外债余额。纳入计算的短期外债和外币外债余额参照此公式计算。</w:t>
      </w:r>
    </w:p>
  </w:footnote>
  <w:footnote w:id="5">
    <w:p>
      <w:pPr>
        <w:pStyle w:val="10"/>
        <w:rPr>
          <w:rFonts w:ascii="宋体" w:hAnsi="宋体"/>
          <w:sz w:val="21"/>
          <w:szCs w:val="21"/>
        </w:rPr>
      </w:pPr>
      <w:r>
        <w:rPr>
          <w:rStyle w:val="16"/>
          <w:rFonts w:ascii="宋体" w:hAnsi="宋体"/>
          <w:sz w:val="21"/>
          <w:szCs w:val="21"/>
        </w:rPr>
        <w:footnoteRef/>
      </w:r>
      <w:r>
        <w:rPr>
          <w:rFonts w:hint="eastAsia" w:ascii="宋体" w:hAnsi="宋体"/>
          <w:sz w:val="21"/>
          <w:szCs w:val="21"/>
        </w:rPr>
        <w:t xml:space="preserve"> 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845DA"/>
    <w:rsid w:val="00004515"/>
    <w:rsid w:val="00030CEB"/>
    <w:rsid w:val="000B7295"/>
    <w:rsid w:val="000F06C9"/>
    <w:rsid w:val="002259FD"/>
    <w:rsid w:val="0029027F"/>
    <w:rsid w:val="002A194F"/>
    <w:rsid w:val="002B52B1"/>
    <w:rsid w:val="002C6C8D"/>
    <w:rsid w:val="00344008"/>
    <w:rsid w:val="0038340C"/>
    <w:rsid w:val="0039521E"/>
    <w:rsid w:val="003C75CC"/>
    <w:rsid w:val="003D3B4D"/>
    <w:rsid w:val="003E46F2"/>
    <w:rsid w:val="00420920"/>
    <w:rsid w:val="00421D69"/>
    <w:rsid w:val="004E53C4"/>
    <w:rsid w:val="00500612"/>
    <w:rsid w:val="00556090"/>
    <w:rsid w:val="005D61F6"/>
    <w:rsid w:val="00624074"/>
    <w:rsid w:val="00631264"/>
    <w:rsid w:val="00643652"/>
    <w:rsid w:val="006678FA"/>
    <w:rsid w:val="006B35CF"/>
    <w:rsid w:val="00715C9E"/>
    <w:rsid w:val="007378F2"/>
    <w:rsid w:val="00737DE4"/>
    <w:rsid w:val="00756B35"/>
    <w:rsid w:val="0076398E"/>
    <w:rsid w:val="00771D90"/>
    <w:rsid w:val="007813E1"/>
    <w:rsid w:val="007B2330"/>
    <w:rsid w:val="008008E5"/>
    <w:rsid w:val="008041DD"/>
    <w:rsid w:val="00854CFB"/>
    <w:rsid w:val="008720C9"/>
    <w:rsid w:val="0088591A"/>
    <w:rsid w:val="00886AB5"/>
    <w:rsid w:val="008A21BD"/>
    <w:rsid w:val="008F1C13"/>
    <w:rsid w:val="0091298F"/>
    <w:rsid w:val="00925C27"/>
    <w:rsid w:val="009F0EE8"/>
    <w:rsid w:val="00A320A1"/>
    <w:rsid w:val="00A4608C"/>
    <w:rsid w:val="00A70FCA"/>
    <w:rsid w:val="00B23188"/>
    <w:rsid w:val="00B43CE8"/>
    <w:rsid w:val="00B510E1"/>
    <w:rsid w:val="00B62BFB"/>
    <w:rsid w:val="00B80652"/>
    <w:rsid w:val="00BF1D04"/>
    <w:rsid w:val="00C125D3"/>
    <w:rsid w:val="00C91A20"/>
    <w:rsid w:val="00C94951"/>
    <w:rsid w:val="00CB34FE"/>
    <w:rsid w:val="00CD76A0"/>
    <w:rsid w:val="00D217AF"/>
    <w:rsid w:val="00D519FE"/>
    <w:rsid w:val="00D845DA"/>
    <w:rsid w:val="00DA39AE"/>
    <w:rsid w:val="00DC6358"/>
    <w:rsid w:val="00DC7DB0"/>
    <w:rsid w:val="00DE34A4"/>
    <w:rsid w:val="00DF4380"/>
    <w:rsid w:val="00E12075"/>
    <w:rsid w:val="00E21130"/>
    <w:rsid w:val="00E2674F"/>
    <w:rsid w:val="00E703B9"/>
    <w:rsid w:val="00E75A2D"/>
    <w:rsid w:val="00E863A7"/>
    <w:rsid w:val="00EB719C"/>
    <w:rsid w:val="00EC5993"/>
    <w:rsid w:val="00F144F2"/>
    <w:rsid w:val="00F631D6"/>
    <w:rsid w:val="00F705AD"/>
    <w:rsid w:val="00F81670"/>
    <w:rsid w:val="00FA003D"/>
    <w:rsid w:val="00FE3282"/>
    <w:rsid w:val="02E912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18"/>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19"/>
    <w:qFormat/>
    <w:uiPriority w:val="9"/>
    <w:pPr>
      <w:ind w:right="300"/>
      <w:outlineLvl w:val="2"/>
    </w:pPr>
    <w:rPr>
      <w:rFonts w:ascii="仿宋_GB2312" w:hAnsi="Calibri" w:eastAsia="仿宋_GB2312" w:cs="Times New Roman"/>
      <w:sz w:val="30"/>
      <w:szCs w:val="30"/>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1"/>
    <w:unhideWhenUsed/>
    <w:qFormat/>
    <w:uiPriority w:val="0"/>
    <w:rPr>
      <w:rFonts w:ascii="宋体"/>
      <w:sz w:val="18"/>
      <w:szCs w:val="18"/>
    </w:rPr>
  </w:style>
  <w:style w:type="paragraph" w:styleId="6">
    <w:name w:val="annotation text"/>
    <w:basedOn w:val="1"/>
    <w:link w:val="28"/>
    <w:unhideWhenUsed/>
    <w:uiPriority w:val="99"/>
    <w:pPr>
      <w:jc w:val="left"/>
    </w:pPr>
    <w:rPr>
      <w:rFonts w:ascii="Calibri" w:hAnsi="Calibri" w:eastAsia="宋体" w:cs="Times New Roman"/>
    </w:rPr>
  </w:style>
  <w:style w:type="paragraph" w:styleId="7">
    <w:name w:val="Balloon Text"/>
    <w:basedOn w:val="1"/>
    <w:link w:val="23"/>
    <w:unhideWhenUsed/>
    <w:uiPriority w:val="0"/>
    <w:rPr>
      <w:sz w:val="18"/>
      <w:szCs w:val="18"/>
    </w:rPr>
  </w:style>
  <w:style w:type="paragraph" w:styleId="8">
    <w:name w:val="footer"/>
    <w:basedOn w:val="1"/>
    <w:link w:val="21"/>
    <w:unhideWhenUsed/>
    <w:uiPriority w:val="99"/>
    <w:pPr>
      <w:tabs>
        <w:tab w:val="center" w:pos="4153"/>
        <w:tab w:val="right" w:pos="8306"/>
      </w:tabs>
      <w:snapToGrid w:val="0"/>
      <w:jc w:val="left"/>
    </w:pPr>
    <w:rPr>
      <w:sz w:val="18"/>
      <w:szCs w:val="18"/>
    </w:rPr>
  </w:style>
  <w:style w:type="paragraph" w:styleId="9">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29"/>
    <w:semiHidden/>
    <w:qFormat/>
    <w:uiPriority w:val="0"/>
    <w:pPr>
      <w:snapToGrid w:val="0"/>
      <w:jc w:val="left"/>
    </w:pPr>
    <w:rPr>
      <w:rFonts w:ascii="Times New Roman" w:hAnsi="Times New Roman"/>
      <w:sz w:val="18"/>
      <w:szCs w:val="18"/>
    </w:rPr>
  </w:style>
  <w:style w:type="paragraph" w:styleId="11">
    <w:name w:val="HTML Preformatted"/>
    <w:basedOn w:val="1"/>
    <w:link w:val="25"/>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4"/>
    <w:unhideWhenUsed/>
    <w:uiPriority w:val="99"/>
    <w:rPr>
      <w:rFonts w:hint="default" w:ascii="ˎ̥" w:hAnsi="ˎ̥"/>
      <w:color w:val="0453CC"/>
      <w:sz w:val="20"/>
      <w:szCs w:val="20"/>
      <w:u w:val="none"/>
    </w:rPr>
  </w:style>
  <w:style w:type="character" w:styleId="16">
    <w:name w:val="footnote reference"/>
    <w:unhideWhenUsed/>
    <w:qFormat/>
    <w:uiPriority w:val="0"/>
    <w:rPr>
      <w:rFonts w:ascii="Times New Roman" w:hAnsi="Times New Roman" w:cs="Times New Roman"/>
      <w:vertAlign w:val="superscript"/>
    </w:rPr>
  </w:style>
  <w:style w:type="character" w:customStyle="1" w:styleId="17">
    <w:name w:val="标题 1 Char"/>
    <w:basedOn w:val="14"/>
    <w:link w:val="2"/>
    <w:uiPriority w:val="9"/>
    <w:rPr>
      <w:rFonts w:ascii="黑体" w:hAnsi="黑体" w:eastAsia="黑体" w:cs="宋体"/>
      <w:color w:val="000000"/>
      <w:kern w:val="0"/>
      <w:sz w:val="30"/>
      <w:szCs w:val="30"/>
    </w:rPr>
  </w:style>
  <w:style w:type="character" w:customStyle="1" w:styleId="18">
    <w:name w:val="标题 2 Char"/>
    <w:basedOn w:val="14"/>
    <w:link w:val="3"/>
    <w:qFormat/>
    <w:uiPriority w:val="9"/>
    <w:rPr>
      <w:rFonts w:ascii="Cambria" w:hAnsi="Cambria" w:eastAsia="宋体" w:cs="Times New Roman"/>
      <w:b/>
      <w:bCs/>
      <w:sz w:val="32"/>
      <w:szCs w:val="32"/>
    </w:rPr>
  </w:style>
  <w:style w:type="character" w:customStyle="1" w:styleId="19">
    <w:name w:val="标题 3 Char"/>
    <w:basedOn w:val="14"/>
    <w:link w:val="4"/>
    <w:uiPriority w:val="9"/>
    <w:rPr>
      <w:rFonts w:ascii="仿宋_GB2312" w:hAnsi="Calibri" w:eastAsia="仿宋_GB2312" w:cs="Times New Roman"/>
      <w:sz w:val="30"/>
      <w:szCs w:val="30"/>
    </w:rPr>
  </w:style>
  <w:style w:type="character" w:customStyle="1" w:styleId="20">
    <w:name w:val="页眉 Char"/>
    <w:basedOn w:val="14"/>
    <w:link w:val="9"/>
    <w:uiPriority w:val="99"/>
    <w:rPr>
      <w:sz w:val="18"/>
      <w:szCs w:val="18"/>
    </w:rPr>
  </w:style>
  <w:style w:type="character" w:customStyle="1" w:styleId="21">
    <w:name w:val="页脚 Char"/>
    <w:basedOn w:val="14"/>
    <w:link w:val="8"/>
    <w:uiPriority w:val="99"/>
    <w:rPr>
      <w:sz w:val="18"/>
      <w:szCs w:val="18"/>
    </w:rPr>
  </w:style>
  <w:style w:type="paragraph" w:styleId="22">
    <w:name w:val="List Paragraph"/>
    <w:basedOn w:val="1"/>
    <w:qFormat/>
    <w:uiPriority w:val="99"/>
    <w:pPr>
      <w:ind w:firstLine="420" w:firstLineChars="200"/>
    </w:pPr>
  </w:style>
  <w:style w:type="character" w:customStyle="1" w:styleId="23">
    <w:name w:val="批注框文本 Char"/>
    <w:basedOn w:val="14"/>
    <w:link w:val="7"/>
    <w:uiPriority w:val="0"/>
    <w:rPr>
      <w:sz w:val="18"/>
      <w:szCs w:val="18"/>
    </w:rPr>
  </w:style>
  <w:style w:type="character" w:customStyle="1" w:styleId="24">
    <w:name w:val="批注框文本 Char1"/>
    <w:basedOn w:val="14"/>
    <w:semiHidden/>
    <w:uiPriority w:val="99"/>
    <w:rPr>
      <w:sz w:val="18"/>
      <w:szCs w:val="18"/>
    </w:rPr>
  </w:style>
  <w:style w:type="character" w:customStyle="1" w:styleId="25">
    <w:name w:val="HTML 预设格式 Char"/>
    <w:basedOn w:val="14"/>
    <w:link w:val="11"/>
    <w:uiPriority w:val="99"/>
    <w:rPr>
      <w:rFonts w:ascii="宋体" w:hAnsi="宋体" w:eastAsia="宋体" w:cs="宋体"/>
      <w:kern w:val="0"/>
      <w:sz w:val="24"/>
      <w:szCs w:val="24"/>
    </w:rPr>
  </w:style>
  <w:style w:type="paragraph" w:customStyle="1" w:styleId="26">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7">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28">
    <w:name w:val="批注文字 Char"/>
    <w:basedOn w:val="14"/>
    <w:link w:val="6"/>
    <w:qFormat/>
    <w:uiPriority w:val="99"/>
    <w:rPr>
      <w:rFonts w:ascii="Calibri" w:hAnsi="Calibri" w:eastAsia="宋体" w:cs="Times New Roman"/>
    </w:rPr>
  </w:style>
  <w:style w:type="character" w:customStyle="1" w:styleId="29">
    <w:name w:val="脚注文本 Char"/>
    <w:basedOn w:val="14"/>
    <w:link w:val="10"/>
    <w:semiHidden/>
    <w:qFormat/>
    <w:uiPriority w:val="0"/>
    <w:rPr>
      <w:rFonts w:ascii="Times New Roman" w:hAnsi="Times New Roman"/>
      <w:sz w:val="18"/>
      <w:szCs w:val="18"/>
    </w:rPr>
  </w:style>
  <w:style w:type="character" w:customStyle="1" w:styleId="30">
    <w:name w:val="标题 4 Char Char"/>
    <w:qFormat/>
    <w:uiPriority w:val="0"/>
    <w:rPr>
      <w:rFonts w:ascii="Calibri" w:hAnsi="Calibri"/>
      <w:b/>
      <w:bCs/>
      <w:sz w:val="28"/>
      <w:szCs w:val="28"/>
      <w:lang w:eastAsia="en-US" w:bidi="en-US"/>
    </w:rPr>
  </w:style>
  <w:style w:type="character" w:customStyle="1" w:styleId="31">
    <w:name w:val="文档结构图 Char"/>
    <w:basedOn w:val="14"/>
    <w:link w:val="5"/>
    <w:uiPriority w:val="0"/>
    <w:rPr>
      <w:rFonts w:ascii="宋体"/>
      <w:sz w:val="18"/>
      <w:szCs w:val="18"/>
    </w:rPr>
  </w:style>
  <w:style w:type="character" w:customStyle="1" w:styleId="32">
    <w:name w:val="Intense Emphasis"/>
    <w:basedOn w:val="14"/>
    <w:qFormat/>
    <w:uiPriority w:val="21"/>
    <w:rPr>
      <w:b/>
      <w:bCs/>
      <w:i/>
      <w:iCs/>
      <w:color w:val="4F81BD"/>
    </w:rPr>
  </w:style>
  <w:style w:type="character" w:customStyle="1" w:styleId="33">
    <w:name w:val="文档结构图 Char1"/>
    <w:basedOn w:val="14"/>
    <w:semiHidden/>
    <w:qFormat/>
    <w:uiPriority w:val="99"/>
    <w:rPr>
      <w:rFonts w:ascii="宋体" w:eastAsia="宋体"/>
      <w:sz w:val="18"/>
      <w:szCs w:val="18"/>
    </w:rPr>
  </w:style>
  <w:style w:type="character" w:customStyle="1" w:styleId="34">
    <w:name w:val="脚注文本 Char2"/>
    <w:basedOn w:val="14"/>
    <w:semiHidden/>
    <w:uiPriority w:val="99"/>
    <w:rPr>
      <w:sz w:val="18"/>
      <w:szCs w:val="18"/>
    </w:rPr>
  </w:style>
  <w:style w:type="paragraph" w:customStyle="1" w:styleId="35">
    <w:name w:val="列出段落1"/>
    <w:basedOn w:val="1"/>
    <w:qFormat/>
    <w:uiPriority w:val="34"/>
    <w:pPr>
      <w:ind w:firstLine="420" w:firstLineChars="200"/>
    </w:pPr>
    <w:rPr>
      <w:rFonts w:ascii="Calibri" w:hAnsi="Calibri" w:eastAsia="宋体" w:cs="Times New Roman"/>
    </w:rPr>
  </w:style>
  <w:style w:type="paragraph" w:customStyle="1" w:styleId="36">
    <w:name w:val="列出段落4"/>
    <w:basedOn w:val="1"/>
    <w:qFormat/>
    <w:uiPriority w:val="0"/>
    <w:pPr>
      <w:ind w:firstLine="200" w:firstLineChars="200"/>
    </w:pPr>
    <w:rPr>
      <w:rFonts w:ascii="Calibri" w:hAnsi="Calibri" w:eastAsia="宋体" w:cs="Times New Roman"/>
    </w:rPr>
  </w:style>
  <w:style w:type="paragraph" w:customStyle="1" w:styleId="37">
    <w:name w:val="列出段落3"/>
    <w:basedOn w:val="1"/>
    <w:qFormat/>
    <w:uiPriority w:val="0"/>
    <w:pPr>
      <w:ind w:firstLine="420" w:firstLineChars="200"/>
    </w:pPr>
    <w:rPr>
      <w:rFonts w:ascii="Times New Roman" w:hAnsi="Times New Roman" w:eastAsia="宋体" w:cs="Times New Roman"/>
      <w:szCs w:val="24"/>
    </w:rPr>
  </w:style>
  <w:style w:type="paragraph" w:customStyle="1" w:styleId="38">
    <w:name w:val="p0"/>
    <w:basedOn w:val="1"/>
    <w:qFormat/>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551ECA-88B4-40DB-9C3A-3BDB2B25DC4E}">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3</Pages>
  <Words>201</Words>
  <Characters>1147</Characters>
  <Lines>9</Lines>
  <Paragraphs>2</Paragraphs>
  <TotalTime>13</TotalTime>
  <ScaleCrop>false</ScaleCrop>
  <LinksUpToDate>false</LinksUpToDate>
  <CharactersWithSpaces>1346</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2020-03-17T02:53:00Z</dcterms:created>
  <dc:creator>朱敏1</dc:creator>
  <cp:lastModifiedBy>ydl-1312</cp:lastModifiedBy>
  <cp:lastPrinted>2019-11-29T03:02:00Z</cp:lastPrinted>
  <dcterms:modified xsi:type="dcterms:W3CDTF">2020-11-20T11:28:15Z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