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图片框 1025"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（二）《国务院对确需保留的行政审批项目设定行政许可的决定》（国务院令第412号）附件第489项“出口单位出口收汇差额核销、核销备查核准”</w:t>
      </w:r>
      <w:bookmarkStart w:id="0" w:name="_GoBack"/>
      <w:bookmarkEnd w:id="0"/>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r>
        <w:rPr>
          <w:rFonts w:hint="eastAsia" w:ascii="仿宋_GB2312" w:hAnsi="仿宋_GB2312" w:eastAsia="仿宋_GB2312" w:cs="仿宋_GB2312"/>
          <w:sz w:val="30"/>
          <w:szCs w:val="30"/>
        </w:rPr>
        <w:t>）</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（三）《国家外汇管理局关于进一步促进跨境贸易投资便利化的通知》（汇发〔2019〕28号）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（四）《国家外汇管理局关于印发〈支付机构外汇业务管理办法〉的通知》（汇发〔2019〕13号）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（五）《国家外汇管理局关于支持贸易新业态发展的通知》（汇发〔2020〕11号）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（六）</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仿宋_GB2312" w:hAnsi="仿宋_GB2312" w:eastAsia="仿宋_GB2312" w:cs="仿宋_GB2312"/>
          <w:sz w:val="30"/>
          <w:szCs w:val="30"/>
        </w:rPr>
        <w:t>（2020年版）〉的通知》（汇发〔2020〕14号）</w:t>
      </w:r>
    </w:p>
    <w:p>
      <w:pPr>
        <w:adjustRightInd w:val="0"/>
        <w:snapToGrid w:val="0"/>
        <w:spacing w:line="360" w:lineRule="auto"/>
        <w:ind w:firstLine="600" w:firstLineChars="200"/>
        <w:rPr>
          <w:rFonts w:hint="eastAsia"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申请人注册所在地国家外汇管理局分支局（支付机构限于</w:t>
      </w:r>
      <w:r>
        <w:rPr>
          <w:rFonts w:hint="eastAsia" w:ascii="Times New Roman" w:hAnsi="Times New Roman" w:eastAsia="仿宋_GB2312" w:cs="Times New Roman"/>
          <w:sz w:val="30"/>
          <w:szCs w:val="30"/>
          <w:lang w:eastAsia="zh-CN"/>
        </w:rPr>
        <w:t>江苏省</w:t>
      </w:r>
      <w:r>
        <w:rPr>
          <w:rFonts w:hint="eastAsia"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w:t>
      </w:r>
      <w:r>
        <w:rPr>
          <w:rFonts w:hint="eastAsia" w:ascii="Times New Roman" w:hAnsi="Times New Roman" w:eastAsia="仿宋_GB2312" w:cs="Times New Roman"/>
          <w:sz w:val="30"/>
          <w:szCs w:val="30"/>
          <w:lang w:val="en-US" w:eastAsia="zh-CN"/>
        </w:rPr>
        <w:t>（</w:t>
      </w:r>
      <w:r>
        <w:rPr>
          <w:rFonts w:ascii="Times New Roman" w:hAnsi="Times New Roman" w:eastAsia="仿宋_GB2312" w:cs="Times New Roman"/>
          <w:sz w:val="30"/>
          <w:szCs w:val="30"/>
        </w:rPr>
        <w:t>支付机构、审核交易电子信息的银行限于</w:t>
      </w:r>
      <w:r>
        <w:rPr>
          <w:rFonts w:hint="eastAsia" w:ascii="Times New Roman" w:hAnsi="Times New Roman" w:eastAsia="仿宋_GB2312" w:cs="Times New Roman"/>
          <w:sz w:val="30"/>
          <w:szCs w:val="30"/>
          <w:lang w:eastAsia="zh-CN"/>
        </w:rPr>
        <w:t>江苏省</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（一）出口单位名录登记新办申请材料清单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8"/>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w:t>
      </w:r>
      <w:r>
        <w:rPr>
          <w:rFonts w:hint="eastAsia" w:ascii="Times New Roman" w:hAnsi="Times New Roman" w:eastAsia="仿宋_GB2312" w:cs="Times New Roman"/>
          <w:sz w:val="30"/>
          <w:szCs w:val="30"/>
          <w:lang w:eastAsia="zh-CN"/>
        </w:rPr>
        <w:t>所在地外汇局业务窗口</w:t>
      </w:r>
      <w:r>
        <w:rPr>
          <w:rFonts w:hint="eastAsia" w:ascii="Times New Roman" w:hAnsi="Times New Roman" w:eastAsia="仿宋_GB2312" w:cs="Times New Roman"/>
          <w:sz w:val="30"/>
          <w:szCs w:val="30"/>
        </w:rPr>
        <w:t>或</w:t>
      </w:r>
      <w:r>
        <w:rPr>
          <w:rFonts w:hint="eastAsia" w:ascii="Times New Roman" w:hAnsi="Times New Roman" w:eastAsia="仿宋_GB2312" w:cs="Times New Roman"/>
          <w:sz w:val="30"/>
          <w:szCs w:val="30"/>
          <w:lang w:eastAsia="zh-CN"/>
        </w:rPr>
        <w:t>国家外汇管理局</w:t>
      </w:r>
      <w:r>
        <w:rPr>
          <w:rFonts w:hint="eastAsia" w:ascii="Times New Roman" w:hAnsi="Times New Roman" w:eastAsia="仿宋_GB2312" w:cs="Times New Roman"/>
          <w:sz w:val="30"/>
          <w:szCs w:val="30"/>
        </w:rPr>
        <w:t>政务服务网上办理</w:t>
      </w:r>
      <w:r>
        <w:rPr>
          <w:rFonts w:hint="eastAsia" w:ascii="Times New Roman" w:hAnsi="Times New Roman" w:eastAsia="仿宋_GB2312" w:cs="Times New Roman"/>
          <w:sz w:val="30"/>
          <w:szCs w:val="30"/>
          <w:lang w:eastAsia="zh-CN"/>
        </w:rPr>
        <w:t>系统（</w:t>
      </w:r>
      <w:r>
        <w:rPr>
          <w:rFonts w:hint="eastAsia" w:ascii="Times New Roman" w:hAnsi="Times New Roman" w:eastAsia="仿宋_GB2312" w:cs="Times New Roman"/>
          <w:sz w:val="30"/>
          <w:szCs w:val="30"/>
          <w:lang w:val="en-US" w:eastAsia="zh-CN"/>
        </w:rPr>
        <w:t>zwfw.safe.gov.cn/asone</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提交</w:t>
      </w:r>
      <w:r>
        <w:rPr>
          <w:rFonts w:hint="eastAsia" w:ascii="Times New Roman" w:hAnsi="Times New Roman" w:eastAsia="仿宋_GB2312" w:cs="Times New Roman"/>
          <w:sz w:val="30"/>
          <w:szCs w:val="30"/>
          <w:lang w:eastAsia="zh-CN"/>
        </w:rPr>
        <w:t>申请</w:t>
      </w:r>
      <w:r>
        <w:rPr>
          <w:rFonts w:hint="eastAsia" w:ascii="Times New Roman" w:hAnsi="Times New Roman" w:eastAsia="仿宋_GB2312" w:cs="Times New Roman"/>
          <w:sz w:val="30"/>
          <w:szCs w:val="30"/>
        </w:rPr>
        <w:t>材料。</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（三）不属于本机构受理范围的，出具不予受理行政许可通知书</w:t>
      </w:r>
    </w:p>
    <w:p>
      <w:pPr>
        <w:ind w:right="300" w:firstLine="600"/>
        <w:jc w:val="left"/>
        <w:rPr>
          <w:rFonts w:ascii="仿宋_GB2312" w:eastAsia="仿宋_GB2312"/>
          <w:sz w:val="30"/>
          <w:szCs w:val="30"/>
        </w:rPr>
      </w:pPr>
      <w:r>
        <w:rPr>
          <w:rFonts w:hint="eastAsia" w:ascii="仿宋_GB2312" w:eastAsia="仿宋_GB2312"/>
          <w:sz w:val="30"/>
          <w:szCs w:val="30"/>
        </w:rPr>
        <w:t>（四）属于本机构受理范围的，审核申请材料是否齐全或符合法定形式；材料不全或不符合法定形式的，一次性告知补正材料，并出具行政许可补正通知书</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（五）材料齐全的，依法予以受理，并出具行政许可受理通知书</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（六）</w:t>
      </w:r>
      <w:r>
        <w:rPr>
          <w:rFonts w:hint="eastAsia" w:ascii="仿宋_GB2312" w:hAnsi="Times New Roman" w:eastAsia="仿宋_GB2312"/>
          <w:sz w:val="30"/>
          <w:szCs w:val="30"/>
        </w:rPr>
        <w:t>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w:t>
      </w:r>
      <w:r>
        <w:rPr>
          <w:rFonts w:hint="eastAsia" w:ascii="Times New Roman" w:hAnsi="Times New Roman" w:eastAsia="黑体" w:cs="Times New Roman"/>
          <w:sz w:val="30"/>
          <w:szCs w:val="30"/>
        </w:rPr>
        <w:t>咨询途径、监督和投诉、办公地址和时间、公开查询方式等</w:t>
      </w:r>
    </w:p>
    <w:p>
      <w:pPr>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可通过国家外汇管理局官方互联网站www.safe.gov.cn链接至江苏分局“业务指南”栏目中公布的电话进行。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AutoShape 2" o:spid="_x0000_s1027"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AutoShape 3" o:spid="_x0000_s1028" type="#_x0000_t32" style="position:absolute;left:0;margin-left:40.6pt;margin-top:6.65pt;height:55.8pt;width:0.9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4" o:spid="_x0000_s1029" type="#_x0000_t32" style="position:absolute;left:0;flip:x;margin-left:41.45pt;margin-top:21.05pt;height:0.05pt;width:232.15pt;rotation:0f;z-index:251671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5"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AutoShape 6" o:spid="_x0000_s1031"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AutoShape 7" o:spid="_x0000_s1032"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AutoShape 8" o:spid="_x0000_s1033" type="#_x0000_t32" style="position:absolute;left:0;margin-left:179.6pt;margin-top:221.95pt;height:31.2pt;width:0.05pt;rotation:0f;z-index:251672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9" o:spid="_x0000_s1034"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AutoShape 10" o:spid="_x0000_s1035" type="#_x0000_t32" style="position:absolute;left:0;margin-left:81.7pt;margin-top:115.4pt;height:0.05pt;width:70.4pt;rotation:0f;z-index:2516695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1" o:spid="_x0000_s1036" type="#_x0000_t32" style="position:absolute;left:0;margin-left:88.6pt;margin-top:61.45pt;height:0.05pt;width:63.3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2" o:spid="_x0000_s1037" type="#_x0000_t32" style="position:absolute;left:0;margin-left:247pt;margin-top:322.15pt;height:50.9pt;width:0.85pt;rotation:0f;z-index:2516736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3" o:spid="_x0000_s1038" type="#_x0000_t32" style="position:absolute;left:0;margin-left:124.45pt;margin-top:327.8pt;height:45.25pt;width:0.0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4" o:spid="_x0000_s1039"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AutoShape 15" o:spid="_x0000_s1040"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AutoShape 16" o:spid="_x0000_s1041" type="#_x0000_t32" style="position:absolute;left:0;margin-left:40.6pt;margin-top:143.7pt;height:39.15pt;width:0.05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7" o:spid="_x0000_s1042" type="#_x0000_t32" style="position:absolute;left:0;margin-left:40.6pt;margin-top:182.85pt;height:0.05pt;width:41.1pt;rotation:0f;z-index:251676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8" o:spid="_x0000_s1043"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AutoShape 19" o:spid="_x0000_s1044" type="#_x0000_t32" style="position:absolute;left:0;flip:y;margin-left:345.35pt;margin-top:4.1pt;height:44.75pt;width:0.05pt;rotation:0f;z-index:251670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20" o:spid="_x0000_s1045"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8"/>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AutoShape 21" o:spid="_x0000_s1046" type="#_x0000_t32" style="position:absolute;left:0;flip:y;margin-left:122.9pt;margin-top:-0.25pt;height:15.65pt;width:233.1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10</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B290B09"/>
    <w:rsid w:val="0E3B76FC"/>
    <w:rsid w:val="0E8466E5"/>
    <w:rsid w:val="17262D09"/>
    <w:rsid w:val="17263809"/>
    <w:rsid w:val="29DD651A"/>
    <w:rsid w:val="3833758B"/>
    <w:rsid w:val="3B692964"/>
    <w:rsid w:val="44FB0297"/>
    <w:rsid w:val="4A68632C"/>
    <w:rsid w:val="5A855157"/>
    <w:rsid w:val="60B7403D"/>
    <w:rsid w:val="61EA56B3"/>
    <w:rsid w:val="6FA6699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0"/>
    <w:tblPr>
      <w:tblStyle w:val="8"/>
      <w:tblLayout w:type="fixed"/>
      <w:tblCellMar>
        <w:top w:w="0" w:type="dxa"/>
        <w:left w:w="108" w:type="dxa"/>
        <w:bottom w:w="0" w:type="dxa"/>
        <w:right w:w="108" w:type="dxa"/>
      </w:tblCellMar>
    </w:tblPr>
    <w:tcPr>
      <w:textDirection w:val="lrTb"/>
    </w:tcPr>
  </w:style>
  <w:style w:type="paragraph" w:styleId="2">
    <w:name w:val="Body Text"/>
    <w:unhideWhenUsed/>
    <w:uiPriority w:val="99"/>
    <w:pPr>
      <w:ind w:left="1360"/>
    </w:pPr>
    <w:rPr>
      <w:rFonts w:ascii="Times New Roman" w:hAnsi="Times New Roman" w:eastAsia="宋体" w:cs="Times New Roman"/>
      <w:sz w:val="30"/>
      <w:szCs w:val="30"/>
      <w:lang w:val="en-US" w:eastAsia="zh-CN" w:bidi="ar-SA"/>
    </w:rPr>
  </w:style>
  <w:style w:type="paragraph" w:styleId="3">
    <w:name w:val="Balloon Text"/>
    <w:basedOn w:val="1"/>
    <w:link w:val="11"/>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rFonts w:hint="default" w:ascii="ˎ̥" w:hAnsi="ˎ̥"/>
      <w:color w:val="0453CC"/>
      <w:sz w:val="20"/>
      <w:szCs w:val="20"/>
      <w:u w:val="none"/>
    </w:rPr>
  </w:style>
  <w:style w:type="character" w:customStyle="1" w:styleId="9">
    <w:name w:val="页眉 Char Char"/>
    <w:basedOn w:val="6"/>
    <w:link w:val="5"/>
    <w:uiPriority w:val="99"/>
    <w:rPr>
      <w:sz w:val="18"/>
      <w:szCs w:val="18"/>
    </w:rPr>
  </w:style>
  <w:style w:type="character" w:customStyle="1" w:styleId="10">
    <w:name w:val="页脚 Char Char"/>
    <w:basedOn w:val="6"/>
    <w:link w:val="4"/>
    <w:uiPriority w:val="99"/>
    <w:rPr>
      <w:sz w:val="18"/>
      <w:szCs w:val="18"/>
    </w:rPr>
  </w:style>
  <w:style w:type="character" w:customStyle="1" w:styleId="11">
    <w:name w:val="批注框文本 Char Char"/>
    <w:basedOn w:val="6"/>
    <w:link w:val="3"/>
    <w:uiPriority w:val="99"/>
    <w:rPr>
      <w:sz w:val="18"/>
      <w:szCs w:val="18"/>
    </w:rPr>
  </w:style>
  <w:style w:type="character" w:customStyle="1" w:styleId="12">
    <w:name w:val="font11"/>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sun</cp:lastModifiedBy>
  <cp:lastPrinted>2020-05-07T10:41:00Z</cp:lastPrinted>
  <dcterms:modified xsi:type="dcterms:W3CDTF">2021-02-22T03:16:31Z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