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300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 xml:space="preserve">编号：57002-2              </w:t>
      </w:r>
      <w:r>
        <w:rPr>
          <w:rFonts w:ascii="Times New Roman" w:hAnsi="Times New Roman" w:eastAsia="黑体" w:cs="Times New Roman"/>
          <w:kern w:val="2"/>
          <w:sz w:val="48"/>
          <w:szCs w:val="48"/>
          <w:lang w:val="en-US" w:eastAsia="zh-CN" w:bidi="ar-SA"/>
        </w:rPr>
        <w:pict>
          <v:shape id="图片框 1025" o:spid="_x0000_s1026" type="#_x0000_t75" style="height:69.6pt;width:86.9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 xml:space="preserve">“出口收汇事前审核” </w:t>
      </w: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行政审批服务指南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更新日期：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实施日期：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发布机构：国家外汇管理局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江苏省分局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   一、项目信息</w:t>
      </w:r>
    </w:p>
    <w:p>
      <w:pPr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项目名称：出口单位出口收汇核查；</w:t>
      </w:r>
    </w:p>
    <w:p>
      <w:pPr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项目编号：57002；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子项名称：出口收汇事前审核；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审批类别：行政许可。</w:t>
      </w:r>
    </w:p>
    <w:p>
      <w:pPr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二、适用范围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本指南适用于“出口收汇事前审核”的申请和办理。</w:t>
      </w:r>
    </w:p>
    <w:p>
      <w:pPr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三、设定依据</w:t>
      </w:r>
    </w:p>
    <w:p>
      <w:pPr>
        <w:ind w:right="300" w:firstLine="585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</w:t>
      </w:r>
      <w:r>
        <w:rPr>
          <w:rFonts w:hint="eastAsia" w:ascii="仿宋_GB2312" w:hAnsi="Times New Roman" w:eastAsia="仿宋_GB2312"/>
          <w:sz w:val="30"/>
          <w:szCs w:val="30"/>
        </w:rPr>
        <w:t>《中华人民共和国外汇管理条例》（国务院令第532号）第十二条：“经常项目外汇收支应当具有真实、合法的交易基础。经营结汇、售汇业务的金融机构应当按照国务院外汇管理部门的规定，对交易单证的真实性及其与外汇收支的一致性进行合理审查。外汇管理机关有权对前款规定事项进行监督检查”</w:t>
      </w:r>
    </w:p>
    <w:p>
      <w:pPr>
        <w:ind w:right="300"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（二）《国务院对确需保留的行政审批项目设定行政许可的决定》（国务院令第412号）附件第489项“出口单位出口收汇差额核销、核销备查核准”</w:t>
      </w:r>
    </w:p>
    <w:p>
      <w:pPr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四、办理依据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（一）《中华人民共和国外汇管理条例》（国务院令第532号）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（二）《国家外汇管理局关于印发货物贸易外汇管理法规有关问题的通知》（汇发〔2012〕38号）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（三）《国家外汇管理局关于印发〈跨国公司跨境资金集中运营管理规定〉的通知》（汇发〔2019〕7号）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（四）《国家外汇管理局关于优化外汇管理 支持涉外业务发展的通知》（汇发〔2020〕8号）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（五）《国家外汇管理局关于印发〈经常项目外汇业务指引（2020年版）〉的通知》（汇发〔2020〕14号）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五、受理机构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申请人注册所在地国家外汇管理局分支局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六、决定机构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申请人注册所在地国家外汇管理局分支局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七、审批数量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无数量限制。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八、办事条件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（一）申请人条件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1.C类企业；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2.超过收汇额度的B类企业；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3.发生90天以上（不含）延期收款的B类企业；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办理</w:t>
      </w:r>
      <w:r>
        <w:rPr>
          <w:rFonts w:ascii="Times New Roman" w:hAnsi="Times New Roman" w:eastAsia="仿宋_GB2312" w:cs="Times New Roman"/>
          <w:sz w:val="30"/>
          <w:szCs w:val="30"/>
        </w:rPr>
        <w:t>退汇日期与原收、付款日期间隔在180天以上（不含）或由于特殊情况无法原路退回的退汇业务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时，</w:t>
      </w:r>
      <w:r>
        <w:rPr>
          <w:rFonts w:ascii="Times New Roman" w:hAnsi="Times New Roman" w:eastAsia="仿宋_GB2312" w:cs="Times New Roman"/>
          <w:sz w:val="30"/>
          <w:szCs w:val="30"/>
        </w:rPr>
        <w:t>A类企业单笔等值5万美元以上（不含）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B、C类企业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5.需要将待核查账户内误入的资本项目资金结汇或划出的企业；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办理新出现的贸易新业态外汇收入业务的企业。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（二）具备或符合如下条件的，准予批准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1.对于C类企业：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交易合规：C类企业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原则上</w:t>
      </w:r>
      <w:r>
        <w:rPr>
          <w:rFonts w:ascii="Times New Roman" w:hAnsi="Times New Roman" w:eastAsia="仿宋_GB2312" w:cs="Times New Roman"/>
          <w:sz w:val="30"/>
          <w:szCs w:val="30"/>
        </w:rPr>
        <w:t>不得签订包含90天以上（不含）收汇条款的出口合同；不得办理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离岸转手买卖</w:t>
      </w:r>
      <w:r>
        <w:rPr>
          <w:rFonts w:ascii="Times New Roman" w:hAnsi="Times New Roman" w:eastAsia="仿宋_GB2312" w:cs="Times New Roman"/>
          <w:sz w:val="30"/>
          <w:szCs w:val="30"/>
        </w:rPr>
        <w:t>外汇收入；</w:t>
      </w:r>
      <w:r>
        <w:rPr>
          <w:rFonts w:ascii="Times New Roman" w:hAnsi="Times New Roman" w:eastAsia="仿宋_GB2312" w:cs="Times New Roman"/>
          <w:sz w:val="30"/>
          <w:szCs w:val="30"/>
        </w:rPr>
        <w:br/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2.对于超过收汇额度的B类企业：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交易合规：B类企业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原则上</w:t>
      </w:r>
      <w:r>
        <w:rPr>
          <w:rFonts w:ascii="Times New Roman" w:hAnsi="Times New Roman" w:eastAsia="仿宋_GB2312" w:cs="Times New Roman"/>
          <w:sz w:val="30"/>
          <w:szCs w:val="30"/>
        </w:rPr>
        <w:t>不得签订包含90天以上（不含）收汇条款的出口合同；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不得办理离岸转手买卖</w:t>
      </w:r>
      <w:r>
        <w:rPr>
          <w:rFonts w:ascii="Times New Roman" w:hAnsi="Times New Roman" w:eastAsia="仿宋_GB2312" w:cs="Times New Roman"/>
          <w:sz w:val="30"/>
          <w:szCs w:val="30"/>
        </w:rPr>
        <w:t>外汇收入；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3.对于90天（不含）以上延期收款的B类企业：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交易合规：</w:t>
      </w:r>
      <w:r>
        <w:rPr>
          <w:rFonts w:ascii="Times New Roman" w:hAnsi="Times New Roman" w:eastAsia="仿宋_GB2312" w:cs="Times New Roman"/>
          <w:sz w:val="30"/>
          <w:szCs w:val="30"/>
        </w:rPr>
        <w:t>在分类监管有效期内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，此前导致降级的情况已改善或纠正，</w:t>
      </w:r>
      <w:r>
        <w:rPr>
          <w:rFonts w:ascii="Times New Roman" w:hAnsi="Times New Roman" w:eastAsia="仿宋_GB2312" w:cs="Times New Roman"/>
          <w:sz w:val="30"/>
          <w:szCs w:val="30"/>
        </w:rPr>
        <w:t>且没有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发生法规规定情形</w:t>
      </w:r>
      <w:r>
        <w:rPr>
          <w:rFonts w:ascii="Times New Roman" w:hAnsi="Times New Roman" w:eastAsia="仿宋_GB2312" w:cs="Times New Roman"/>
          <w:sz w:val="30"/>
          <w:szCs w:val="30"/>
        </w:rPr>
        <w:t>的，自列入B类之日起6个月后，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</w:t>
      </w:r>
      <w:r>
        <w:rPr>
          <w:rFonts w:ascii="Times New Roman" w:hAnsi="Times New Roman" w:eastAsia="仿宋_GB2312" w:cs="Times New Roman"/>
          <w:sz w:val="30"/>
          <w:szCs w:val="30"/>
        </w:rPr>
        <w:t>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外汇局</w:t>
      </w:r>
      <w:r>
        <w:rPr>
          <w:rFonts w:ascii="Times New Roman" w:hAnsi="Times New Roman" w:eastAsia="仿宋_GB2312" w:cs="Times New Roman"/>
          <w:sz w:val="30"/>
          <w:szCs w:val="30"/>
        </w:rPr>
        <w:t>登记办理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该</w:t>
      </w:r>
      <w:r>
        <w:rPr>
          <w:rFonts w:ascii="Times New Roman" w:hAnsi="Times New Roman" w:eastAsia="仿宋_GB2312" w:cs="Times New Roman"/>
          <w:sz w:val="30"/>
          <w:szCs w:val="30"/>
        </w:rPr>
        <w:t>业务。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4.对于超期限或无法原路退汇的企业：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交易合规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  <w:bookmarkStart w:id="0" w:name="_GoBack"/>
      <w:bookmarkEnd w:id="0"/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5.对于需要将待核查账户内误入的资本项目资金结汇或划出的企业：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交易合规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办理新出现的贸易新业态外汇收入的企业：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交易合规。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禁止性要求：1.申请材料不齐全，不符合法规规定。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2.申请业务不具有真实、合法的交易背景。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九、申请材料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（一）C类企业出口收汇登记申请材料清单</w:t>
      </w:r>
    </w:p>
    <w:tbl>
      <w:tblPr>
        <w:tblStyle w:val="7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94"/>
        <w:gridCol w:w="1276"/>
        <w:gridCol w:w="457"/>
        <w:gridCol w:w="819"/>
        <w:gridCol w:w="2934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说明需登记的事项和具体内容。对于贸易付汇的退汇收入，应在书面申请中具体说明退汇原因以及退汇同时是否发生货物退运。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对于代理出口业务，代理方为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类企业的，应当按规定办理贸易外汇收入登记。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收汇凭证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收入未进待核查账户的，可免于提交。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keepNext/>
              <w:keepLines/>
              <w:spacing w:before="260" w:after="260" w:line="416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1.一般情况（含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因汇路不畅需要使用外币现钞结算的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，应提交出口合同；2.对于贸易付汇的退汇收入，因错误汇出以外的其他原因产生的，提交原进口合同。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预收货款方式结算时提供；出口贸易融资放款时提供。 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报关单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除信用证、托收、预收货款外其他方式结算的，货物已出口报关的，需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报关单，货物不报关的，可提供运输单据等其他材料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；2.因汇路不畅需要使用外币现钞结算的，办理外币现钞结汇业务登记时应提交；3.发生货物退运而产生贸易付汇的退汇收入时应提供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出口报关单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。 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与金融机构签订的融资协议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办理出口贸易融资放款时应提供。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分立、合并证明文件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因企业分立、合并原因导致出口与收入主体不一致的，应提交相关部门出具的分立、合并证明文件。 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外币现钞入境申报单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因汇路不畅需要使用外币现钞结算的，结汇现钞金额达到规定入境申报金额时，应提供经海关签章的外币现钞入境申报单。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原支付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贸易付汇退汇时提供原支付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退汇协议、错汇情况说明等能够证明收汇真实性的材料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（二）超过收汇额度的B类企业出口收汇登记申请材料清单</w:t>
      </w:r>
    </w:p>
    <w:tbl>
      <w:tblPr>
        <w:tblStyle w:val="7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17"/>
        <w:gridCol w:w="962"/>
        <w:gridCol w:w="457"/>
        <w:gridCol w:w="931"/>
        <w:gridCol w:w="2447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说明为B类企业及具有超过可收汇额度收汇需要。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对于代理业务，代理方为B类企业且可收汇额度不足的，应当按规定办理贸易外汇收入登记。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可收汇额度不足的证明材料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汇凭证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收入未进待核查账户的，可免于提交。</w:t>
            </w:r>
          </w:p>
        </w:tc>
        <w:tc>
          <w:tcPr>
            <w:tcW w:w="140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合同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1.一般情况（含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因汇路不畅需要使用外币现钞结算的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，应提交出口合同；2.对于贸易付汇的退汇收入，因错误汇出以外的其他原因产生的，提交原进口合同。 </w:t>
            </w:r>
          </w:p>
        </w:tc>
        <w:tc>
          <w:tcPr>
            <w:tcW w:w="140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预收货款方式结算时提供；出口贸易融资放款时提供。 </w:t>
            </w:r>
          </w:p>
        </w:tc>
        <w:tc>
          <w:tcPr>
            <w:tcW w:w="140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与金融机构签订的融资协议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办理出口贸易融资放款时应提供。</w:t>
            </w:r>
          </w:p>
        </w:tc>
        <w:tc>
          <w:tcPr>
            <w:tcW w:w="140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报关单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除信用证、托收、预收货款外其他方式结算的，货物已出口报关的，需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报关单，货物不报关的，可提供运输单据等其他材料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；2.因汇路不畅需要使用外币现钞结算的，办理外币现钞结汇业务登记时应提交；3.发生货物退运而产生贸易付汇的退汇收入时应提供。 </w:t>
            </w:r>
          </w:p>
        </w:tc>
        <w:tc>
          <w:tcPr>
            <w:tcW w:w="140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分立、合并证明文件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因企业分立、合并原因导致出口与收入主体不一致的，应提交相关部门出具的分立、合并证明文件。 </w:t>
            </w:r>
          </w:p>
        </w:tc>
        <w:tc>
          <w:tcPr>
            <w:tcW w:w="140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外币现钞入境申报单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因汇路不畅需要使用外币现钞结算的，结汇现钞金额达到规定入境申报金额时，应提供经海关签章的外币现钞入境申报单。</w:t>
            </w:r>
          </w:p>
        </w:tc>
        <w:tc>
          <w:tcPr>
            <w:tcW w:w="140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原支付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贸易付汇退汇时提供原支付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40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退汇协议、错汇情况说明等能够证明收汇真实性的材料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（三）90天以上延期收款的B类企业出口收汇登记申请材料清单</w:t>
      </w:r>
    </w:p>
    <w:tbl>
      <w:tblPr>
        <w:tblStyle w:val="7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19"/>
        <w:gridCol w:w="1985"/>
        <w:gridCol w:w="567"/>
        <w:gridCol w:w="850"/>
        <w:gridCol w:w="184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说明需登记的事项和具体内容。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出口合同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出口货物报关单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货物不报关的，可提供运输单据等其他材料</w:t>
            </w:r>
          </w:p>
        </w:tc>
        <w:tc>
          <w:tcPr>
            <w:tcW w:w="992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需90天以上延期收款的证明材料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（四）超期限或无法原路退汇的企业收汇登记申请材料清单</w:t>
      </w:r>
    </w:p>
    <w:tbl>
      <w:tblPr>
        <w:tblStyle w:val="7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19"/>
        <w:gridCol w:w="993"/>
        <w:gridCol w:w="850"/>
        <w:gridCol w:w="992"/>
        <w:gridCol w:w="1560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说明需要登记的具体内容，超期限或无法原路退汇的原因，退汇同时是否发生货物退运。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超期限或无法原路退汇的证明材料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原支出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收入未进待核查账户的，可免于提交。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keepNext/>
              <w:keepLines/>
              <w:spacing w:before="260" w:after="260" w:line="416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报关单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发生货物退运时提供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出口报关单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原进口合同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因错误汇出以外其他原因产生的贸易付汇退汇，提供原进口合同。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（五）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错汇入</w:t>
      </w:r>
      <w:r>
        <w:rPr>
          <w:rFonts w:ascii="Times New Roman" w:hAnsi="Times New Roman" w:eastAsia="仿宋_GB2312" w:cs="Times New Roman"/>
          <w:sz w:val="30"/>
          <w:szCs w:val="30"/>
        </w:rPr>
        <w:t>待核查账户的资本项目资金结汇或划出登记申请材料清单</w:t>
      </w:r>
    </w:p>
    <w:tbl>
      <w:tblPr>
        <w:tblStyle w:val="7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1"/>
        <w:gridCol w:w="1417"/>
        <w:gridCol w:w="567"/>
        <w:gridCol w:w="851"/>
        <w:gridCol w:w="240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说明需登记的事项和具体内容以及资本项目外汇账户账号。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收汇凭证和资金来源证明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材料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</w:p>
        </w:tc>
        <w:tc>
          <w:tcPr>
            <w:tcW w:w="2409" w:type="dxa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（六）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新出现的贸易新业态出口收汇登记</w:t>
      </w:r>
      <w:r>
        <w:rPr>
          <w:rFonts w:ascii="Times New Roman" w:hAnsi="Times New Roman" w:eastAsia="仿宋_GB2312" w:cs="Times New Roman"/>
          <w:sz w:val="30"/>
          <w:szCs w:val="30"/>
        </w:rPr>
        <w:t>申请材料清单</w:t>
      </w:r>
    </w:p>
    <w:tbl>
      <w:tblPr>
        <w:tblStyle w:val="7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1"/>
        <w:gridCol w:w="1417"/>
        <w:gridCol w:w="709"/>
        <w:gridCol w:w="1134"/>
        <w:gridCol w:w="1701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明登记业务真实性和合理性的材料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701" w:type="dxa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十、申请接受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申请人可通过</w:t>
      </w:r>
      <w:r>
        <w:rPr>
          <w:rFonts w:ascii="Times New Roman" w:hAnsi="Times New Roman" w:eastAsia="仿宋_GB2312" w:cs="Times New Roman"/>
          <w:sz w:val="30"/>
          <w:szCs w:val="30"/>
        </w:rPr>
        <w:t>注册所在地外汇局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提交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申请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材料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十一、基本办理流程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（一）申请人提交申请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（二）决定是否予以受理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（三）不属于本机构受理范围的，出具不予受理行政许可通知书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（四）属于本机构受理范围的，审核申请材料是否齐全或符合法定形式；材料不全或不符合法定形式的，一次性告知补正材料，并出具行政许可补正通知书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（五）材料齐全的，依法予以受理，并出具行政许可受理通知书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（六）不予许可的，做出不予许可的行政许可书面决定并说明理由；予以许可的，出具贸易外汇业务登记表</w:t>
      </w:r>
    </w:p>
    <w:p>
      <w:pPr>
        <w:tabs>
          <w:tab w:val="left" w:pos="615"/>
        </w:tabs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十二、办理方式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一般程序：申请、受理、审查、决定。</w:t>
      </w:r>
    </w:p>
    <w:p>
      <w:pPr>
        <w:tabs>
          <w:tab w:val="left" w:pos="615"/>
        </w:tabs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十三、审批时限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20个工作日。</w:t>
      </w:r>
    </w:p>
    <w:p>
      <w:pPr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十四、审批收费依据及标准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不收费。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十五、审批结果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外汇局向申请企业出具贸易外汇业务登记表。</w:t>
      </w:r>
    </w:p>
    <w:p>
      <w:pPr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十六、结果送达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通过电话等方式通知申请企业，并通过现场领取或邮寄等方式将结果送达。</w:t>
      </w:r>
    </w:p>
    <w:p>
      <w:pPr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十七、申请人权利和义务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申请人有权依法提出行政审批申请，依法进行投诉、举报、复议、诉讼等。申请人有义务保证申请材料完整、真实、准确，获批后合法合规办理相关业务。</w:t>
      </w:r>
    </w:p>
    <w:p>
      <w:pPr>
        <w:ind w:firstLine="600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十八、</w:t>
      </w:r>
      <w:r>
        <w:rPr>
          <w:rFonts w:hint="eastAsia" w:ascii="Times New Roman" w:hAnsi="Times New Roman" w:eastAsia="黑体" w:cs="Times New Roman"/>
          <w:sz w:val="30"/>
          <w:szCs w:val="30"/>
        </w:rPr>
        <w:t>咨询途径、监督和投诉、办公地址和时间、公开查询方式等</w:t>
      </w:r>
    </w:p>
    <w:p>
      <w:pPr>
        <w:ind w:firstLine="6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注册所在地外汇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局进行咨询、办理进程查询、监督和投诉等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可通过国家外汇管理局官方互联网站www.safe.gov.cn链接至江苏分局“业务指南”栏目中公布的电话进行。</w:t>
      </w:r>
    </w:p>
    <w:p>
      <w:pPr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十九、事项审查类型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前审后批。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二十、常见问题解答和错误示例。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</w:t>
      </w:r>
      <w:r>
        <w:rPr>
          <w:rFonts w:ascii="Times New Roman" w:hAnsi="Times New Roman" w:eastAsia="仿宋_GB2312" w:cs="Times New Roman"/>
          <w:sz w:val="30"/>
          <w:szCs w:val="30"/>
        </w:rPr>
        <w:t>《贸易外汇业务登记表》的有效期是多久？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《贸易外汇业务登记表》有效期原则上不超过1个月。</w:t>
      </w:r>
    </w:p>
    <w:p>
      <w:pPr>
        <w:widowControl/>
        <w:spacing w:line="384" w:lineRule="auto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.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错误示例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企业在填写申请书时，要写明具体的登记业务类型，如B类企业办理90天以上延期收款登记，注意不要只填写B类企业登记业务。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附录一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基本流程图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2" o:spid="_x0000_s1027" type="#_x0000_t116" style="position:absolute;left:0;margin-left:-12.9pt;margin-top:26.45pt;height:73.8pt;width:101.35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申请人提出申请，并提交材料</w:t>
                  </w:r>
                </w:p>
              </w:txbxContent>
            </v:textbox>
          </v:shape>
        </w:pic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3" o:spid="_x0000_s1028" type="#_x0000_t32" style="position:absolute;left:0;margin-left:39.75pt;margin-top:6.65pt;height:54.9pt;width:0.85pt;rotation:0f;z-index:251667456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4" o:spid="_x0000_s1029" type="#_x0000_t32" style="position:absolute;left:0;flip:x;margin-left:41.45pt;margin-top:21.05pt;height:0.05pt;width:232.15pt;rotation:0f;z-index:251671552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Rectangle 5" o:spid="_x0000_s1030" style="position:absolute;left:0;margin-left:273.6pt;margin-top:1.6pt;height:33.7pt;width:146.45pt;rotation:0f;z-index:25166028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申请人补全材料</w:t>
                  </w:r>
                </w:p>
              </w:txbxContent>
            </v:textbox>
          </v:rect>
        </w:pict>
      </w:r>
    </w:p>
    <w:p>
      <w:pPr>
        <w:ind w:right="300"/>
        <w:jc w:val="left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6" o:spid="_x0000_s1031" type="#_x0000_t116" style="position:absolute;left:0;margin-left:216.4pt;margin-top:371.2pt;height:53.15pt;width:180.85pt;rotation:0f;z-index:25166540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依法作出不予许可决定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7" o:spid="_x0000_s1032" type="#_x0000_t116" style="position:absolute;left:0;margin-left:-3.1pt;margin-top:371.2pt;height:52.7pt;width:205.8pt;rotation:0f;z-index:25166643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予以许可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8" o:spid="_x0000_s1033" type="#_x0000_t32" style="position:absolute;left:0;margin-left:122.1pt;margin-top:318.35pt;height:52.85pt;width:0.05pt;rotation:0f;z-index:251674624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9" o:spid="_x0000_s1034" type="#_x0000_t32" style="position:absolute;left:0;margin-left:179.6pt;margin-top:233pt;height:30.55pt;width:0.05pt;rotation:0f;z-index:251672576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Rectangle 10" o:spid="_x0000_s1035" style="position:absolute;left:0;margin-left:81.7pt;margin-top:163.15pt;height:69.85pt;width:210.9pt;rotation:0f;z-index:2516633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材料齐全的，依法予以受理</w:t>
                  </w:r>
                </w:p>
                <w:p/>
              </w:txbxContent>
            </v:textbox>
          </v:rect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11" o:spid="_x0000_s1036" type="#_x0000_t32" style="position:absolute;left:0;margin-left:81.7pt;margin-top:109.6pt;height:0.05pt;width:70.25pt;rotation:0f;z-index:251669504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12" o:spid="_x0000_s1037" type="#_x0000_t32" style="position:absolute;left:0;margin-left:88.45pt;margin-top:61.45pt;height:0.05pt;width:63.5pt;rotation:0f;z-index:251668480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13" o:spid="_x0000_s1038" type="#_x0000_t4" style="position:absolute;left:0;margin-left:-41.75pt;margin-top:30.35pt;height:106.45pt;width:163.9pt;rotation:0f;z-index:2516592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接件并于5个工作日内作出是否受理决定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14" o:spid="_x0000_s1039" type="#_x0000_t32" style="position:absolute;left:0;margin-left:247.8pt;margin-top:318.35pt;height:52.85pt;width:0.85pt;rotation:0f;z-index:251673600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15" o:spid="_x0000_s1040" type="#_x0000_t4" style="position:absolute;left:0;margin-left:93.35pt;margin-top:263.55pt;height:85.4pt;width:176.8pt;rotation:0f;z-index:25166438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审查报批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16" o:spid="_x0000_s1041" type="#_x0000_t32" style="position:absolute;left:0;margin-left:40.6pt;margin-top:132.2pt;height:50.65pt;width:0.05pt;rotation:0f;z-index:25167564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17" o:spid="_x0000_s1042" type="#_x0000_t32" style="position:absolute;left:0;margin-left:40.6pt;margin-top:182.85pt;height:0.05pt;width:41.1pt;rotation:0f;z-index:251676672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Rectangle 18" o:spid="_x0000_s1043" style="position:absolute;left:0;margin-left:151.95pt;margin-top:91.5pt;height:45.3pt;width:268.1pt;rotation:0f;z-index:25166233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依法不予受理的，作出不予受理决定，出具不予受理通知书</w:t>
                  </w:r>
                </w:p>
              </w:txbxContent>
            </v:textbox>
          </v:rect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AutoShape 19" o:spid="_x0000_s1044" type="#_x0000_t32" style="position:absolute;left:0;flip:y;margin-left:345.35pt;margin-top:4.1pt;height:44.75pt;width:0.05pt;rotation:0f;z-index:251670528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Rectangle 20" o:spid="_x0000_s1045" style="position:absolute;left:0;margin-left:151.95pt;margin-top:48.85pt;height:25pt;width:268.1pt;rotation:0f;z-index:2516613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材料不全或不符合法定形式的，一次性告知补正材料</w:t>
                  </w:r>
                </w:p>
              </w:txbxContent>
            </v:textbox>
          </v:rect>
        </w:pict>
      </w: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附录二（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材料示范文本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</w:p>
    <w:p>
      <w:pPr>
        <w:widowControl/>
        <w:spacing w:line="384" w:lineRule="auto"/>
        <w:jc w:val="center"/>
        <w:rPr>
          <w:rFonts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pacing w:line="384" w:lineRule="auto"/>
        <w:jc w:val="center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kern w:val="0"/>
          <w:sz w:val="30"/>
          <w:szCs w:val="30"/>
        </w:rPr>
        <w:t>申请书</w:t>
      </w:r>
    </w:p>
    <w:p>
      <w:pPr>
        <w:widowControl/>
        <w:spacing w:line="384" w:lineRule="auto"/>
        <w:jc w:val="center"/>
        <w:rPr>
          <w:rFonts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国家外汇管理局XX分（支）局：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br/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　　一、本次申请业务的基本情况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包括但不限于：业务基本情况介绍、业务类别、结算方式、经办金融机构名称、币种和金额等。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二、申请事项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包括但不限于：需登记的事项，原因（如按法规规定需说明原因的）等其他内容。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三、其他需说明的情况（如无，可不填写）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yellow"/>
        </w:rPr>
      </w:pP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widowControl/>
        <w:spacing w:line="384" w:lineRule="auto"/>
        <w:ind w:firstLine="585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br/>
      </w:r>
    </w:p>
    <w:p>
      <w:pPr>
        <w:widowControl/>
        <w:spacing w:line="384" w:lineRule="auto"/>
        <w:ind w:right="600"/>
        <w:jc w:val="center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                                 单位（盖章）：</w:t>
      </w:r>
    </w:p>
    <w:p>
      <w:pPr>
        <w:ind w:right="600"/>
        <w:jc w:val="center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                                       年  月  日</w:t>
      </w: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5DC58AA"/>
    <w:rsid w:val="06245552"/>
    <w:rsid w:val="0795047E"/>
    <w:rsid w:val="0AC25212"/>
    <w:rsid w:val="0C1D75EE"/>
    <w:rsid w:val="106327F0"/>
    <w:rsid w:val="24C457DA"/>
    <w:rsid w:val="2A3E570B"/>
    <w:rsid w:val="2BED712C"/>
    <w:rsid w:val="47C63C2D"/>
    <w:rsid w:val="4AB60B72"/>
    <w:rsid w:val="594E1A5C"/>
    <w:rsid w:val="674D1488"/>
    <w:rsid w:val="72434C0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0" w:semiHidden="0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rFonts w:hint="default" w:ascii="ˎ̥" w:hAnsi="ˎ̥"/>
      <w:color w:val="0453CC"/>
      <w:sz w:val="20"/>
      <w:szCs w:val="20"/>
      <w:u w:val="none"/>
    </w:rPr>
  </w:style>
  <w:style w:type="character" w:customStyle="1" w:styleId="8">
    <w:name w:val="页眉 Char Char"/>
    <w:basedOn w:val="5"/>
    <w:link w:val="4"/>
    <w:uiPriority w:val="99"/>
    <w:rPr>
      <w:sz w:val="18"/>
      <w:szCs w:val="18"/>
    </w:rPr>
  </w:style>
  <w:style w:type="character" w:customStyle="1" w:styleId="9">
    <w:name w:val="页脚 Char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 Char"/>
    <w:basedOn w:val="5"/>
    <w:link w:val="2"/>
    <w:uiPriority w:val="99"/>
    <w:rPr>
      <w:sz w:val="18"/>
      <w:szCs w:val="18"/>
    </w:rPr>
  </w:style>
  <w:style w:type="character" w:customStyle="1" w:styleId="11">
    <w:name w:val="font11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735</Words>
  <Characters>4190</Characters>
  <Lines>34</Lines>
  <Paragraphs>9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2020-04-22T08:12:00Z</dcterms:created>
  <dc:creator>吴</dc:creator>
  <cp:lastModifiedBy>sun</cp:lastModifiedBy>
  <cp:lastPrinted>2020-05-07T10:41:00Z</cp:lastPrinted>
  <dcterms:modified xsi:type="dcterms:W3CDTF">2021-02-22T07:22:18Z</dcterms:modified>
  <dc:title>编号：57002-2              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