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33" w:rsidRDefault="00022EF6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 xml:space="preserve">57015               </w:t>
      </w:r>
      <w:r>
        <w:rPr>
          <w:rFonts w:ascii="Times New Roman" w:eastAsia="黑体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87pt;height:69.75pt">
            <v:imagedata r:id="rId7" o:title=""/>
          </v:shape>
        </w:pict>
      </w:r>
    </w:p>
    <w:p w:rsidR="00156A33" w:rsidRDefault="00156A33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156A33" w:rsidRDefault="00156A33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156A33" w:rsidRDefault="00156A33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156A33" w:rsidRDefault="00156A33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156A33" w:rsidRDefault="00022EF6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金融机构外汇与人民币资产不匹配的购汇、结汇审批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</w:p>
    <w:p w:rsidR="00156A33" w:rsidRDefault="00022EF6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156A33" w:rsidRDefault="00156A33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156A33" w:rsidRDefault="00156A33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156A33" w:rsidRDefault="00156A33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156A33" w:rsidRDefault="00156A33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156A33" w:rsidRDefault="00156A33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156A33" w:rsidRDefault="00156A33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156A33" w:rsidRDefault="00022EF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28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156A33" w:rsidRDefault="00022EF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28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156A33" w:rsidRDefault="00022EF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</w:p>
    <w:p w:rsidR="00156A33" w:rsidRDefault="00156A33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156A33" w:rsidRDefault="00156A33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156A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156A33" w:rsidRDefault="00156A33">
      <w:pPr>
        <w:ind w:right="300"/>
        <w:jc w:val="left"/>
        <w:rPr>
          <w:rFonts w:ascii="Times New Roman" w:eastAsia="黑体" w:hAnsi="Times New Roman" w:cs="Times New Roman"/>
          <w:sz w:val="48"/>
          <w:szCs w:val="48"/>
        </w:rPr>
        <w:sectPr w:rsidR="00156A33">
          <w:footerReference w:type="default" r:id="rId14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56A33" w:rsidRDefault="00022EF6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156A33" w:rsidRDefault="00022EF6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项目名称：金融机构外汇与人民币资产不匹配的购汇、结汇审批；</w:t>
      </w:r>
    </w:p>
    <w:p w:rsidR="00156A33" w:rsidRDefault="00022EF6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57015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156A33" w:rsidRDefault="00022EF6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156A33" w:rsidRDefault="00022EF6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156A33" w:rsidRDefault="00022EF6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银行资本金（或营运资金）本外币转换核准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156A33" w:rsidRDefault="00022EF6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156A33" w:rsidRDefault="00022EF6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号）第二十六条：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金融机构的资本金、利润以及因本外币资产不匹配需要进行人民币与外币间转换的，应当经外汇管理机关批准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56A33" w:rsidRDefault="00022EF6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四、银行资本金（或营运资金）本外币转</w:t>
      </w:r>
      <w:r>
        <w:rPr>
          <w:rFonts w:ascii="Times New Roman" w:eastAsia="黑体" w:hAnsi="Times New Roman" w:cs="Times New Roman"/>
          <w:sz w:val="30"/>
          <w:szCs w:val="30"/>
        </w:rPr>
        <w:t>换核准</w:t>
      </w:r>
    </w:p>
    <w:p w:rsidR="00156A33" w:rsidRDefault="00022EF6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156A33" w:rsidRDefault="00022EF6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号）；。</w:t>
      </w:r>
    </w:p>
    <w:p w:rsidR="00156A33" w:rsidRDefault="00022EF6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《银行办理结售汇业务管理办法》（中国人民银行令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2014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第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《国家外汇管理局关于印发〈银行办理结售汇业务管理办法实施细则〉的通知》（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汇发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2014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〕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53</w:t>
      </w:r>
      <w:r>
        <w:rPr>
          <w:rFonts w:ascii="Times New Roman" w:eastAsia="仿宋_GB2312" w:hAnsi="Times New Roman" w:cs="Times New Roman"/>
          <w:sz w:val="30"/>
          <w:szCs w:val="30"/>
        </w:rPr>
        <w:t>号）。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申请人所在地国家外汇管理局分局（外汇管理部）。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申请人所在地国家外汇管理局分局（外汇管理部）。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lastRenderedPageBreak/>
        <w:t>无数量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限制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156A33" w:rsidRDefault="00022EF6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申请人为银行，需同时符合以下条件：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完成本外币转换后的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（外汇所有者权益</w:t>
      </w:r>
      <w:r>
        <w:rPr>
          <w:rFonts w:ascii="Times New Roman" w:eastAsia="仿宋_GB2312" w:hAnsi="Times New Roman" w:cs="Times New Roman"/>
          <w:sz w:val="30"/>
          <w:szCs w:val="30"/>
        </w:rPr>
        <w:t>+</w:t>
      </w:r>
      <w:r>
        <w:rPr>
          <w:rFonts w:ascii="Times New Roman" w:eastAsia="仿宋_GB2312" w:hAnsi="Times New Roman" w:cs="Times New Roman"/>
          <w:sz w:val="30"/>
          <w:szCs w:val="30"/>
        </w:rPr>
        <w:t>外汇营运资金）／外汇资产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（人民币所有者权益</w:t>
      </w:r>
      <w:r>
        <w:rPr>
          <w:rFonts w:ascii="Times New Roman" w:eastAsia="仿宋_GB2312" w:hAnsi="Times New Roman" w:cs="Times New Roman"/>
          <w:sz w:val="30"/>
          <w:szCs w:val="30"/>
        </w:rPr>
        <w:t>+</w:t>
      </w:r>
      <w:r>
        <w:rPr>
          <w:rFonts w:ascii="Times New Roman" w:eastAsia="仿宋_GB2312" w:hAnsi="Times New Roman" w:cs="Times New Roman"/>
          <w:sz w:val="30"/>
          <w:szCs w:val="30"/>
        </w:rPr>
        <w:t>人民币营运资金）／人民币资产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基本相等。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以上数据按银行境内机构的资产负债表计算，不包括境外关联行。计算外汇资产可扣除部分政策性因素形成的外汇资产；计算人民币资产，应对其中的存放同业和拆放同业取结汇申请前四个季度末的平均数。营运资金和所有者权益不重复计算；人民币营运资金是指外国银行向境内分行拨付的人民币营运资金（含结汇后人民币营运资金）；外汇营运资金是外国银行向境内分行拨付的外汇营运资金，以及境内法人银行以自有人</w:t>
      </w:r>
      <w:r>
        <w:rPr>
          <w:rFonts w:ascii="Times New Roman" w:eastAsia="仿宋_GB2312" w:hAnsi="Times New Roman" w:cs="Times New Roman"/>
          <w:sz w:val="30"/>
          <w:szCs w:val="30"/>
        </w:rPr>
        <w:t>民币购买并在外汇营运资金科目核算的资金。计算外汇所有者权益时应扣除未分配外汇利润，但未分配外汇利润为亏损的，不得扣除。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新开办外汇业务的中资银行或新开办人民币业务的外资银行，首次可申请将不超过</w:t>
      </w:r>
      <w:r>
        <w:rPr>
          <w:rFonts w:ascii="Times New Roman" w:eastAsia="仿宋_GB2312" w:hAnsi="Times New Roman" w:cs="Times New Roman"/>
          <w:sz w:val="30"/>
          <w:szCs w:val="30"/>
        </w:rPr>
        <w:t>10%</w:t>
      </w:r>
      <w:r>
        <w:rPr>
          <w:rFonts w:ascii="Times New Roman" w:eastAsia="仿宋_GB2312" w:hAnsi="Times New Roman" w:cs="Times New Roman"/>
          <w:sz w:val="30"/>
          <w:szCs w:val="30"/>
        </w:rPr>
        <w:t>的资本金进行本外币转换。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银行购买外汇资本金或外汇营运资金发展外汇业务的，可依据实际需要申请，不受前述第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和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项条件限制。</w:t>
      </w:r>
    </w:p>
    <w:p w:rsidR="00156A33" w:rsidRDefault="00022EF6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银行业监督管理部门对资本金币种有明确要求或其他特殊情况的，可不受前述第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和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项条件限制。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银行申请原则上每年不得超过一次。</w:t>
      </w:r>
    </w:p>
    <w:p w:rsidR="00156A33" w:rsidRDefault="00022EF6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tbl>
      <w:tblPr>
        <w:tblStyle w:val="ad"/>
        <w:tblW w:w="8402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02"/>
        <w:gridCol w:w="457"/>
        <w:gridCol w:w="961"/>
        <w:gridCol w:w="457"/>
        <w:gridCol w:w="497"/>
      </w:tblGrid>
      <w:tr w:rsidR="00156A33">
        <w:tc>
          <w:tcPr>
            <w:tcW w:w="534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号</w:t>
            </w:r>
          </w:p>
        </w:tc>
        <w:tc>
          <w:tcPr>
            <w:tcW w:w="4394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提交材料名称</w:t>
            </w:r>
          </w:p>
        </w:tc>
        <w:tc>
          <w:tcPr>
            <w:tcW w:w="1102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印件</w:t>
            </w:r>
          </w:p>
        </w:tc>
        <w:tc>
          <w:tcPr>
            <w:tcW w:w="457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份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数</w:t>
            </w:r>
          </w:p>
        </w:tc>
        <w:tc>
          <w:tcPr>
            <w:tcW w:w="961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电子</w:t>
            </w:r>
          </w:p>
        </w:tc>
        <w:tc>
          <w:tcPr>
            <w:tcW w:w="457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要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求</w:t>
            </w:r>
          </w:p>
        </w:tc>
        <w:tc>
          <w:tcPr>
            <w:tcW w:w="497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备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注</w:t>
            </w:r>
          </w:p>
        </w:tc>
      </w:tr>
      <w:tr w:rsidR="00156A33">
        <w:tc>
          <w:tcPr>
            <w:tcW w:w="534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申请报告</w:t>
            </w:r>
          </w:p>
        </w:tc>
        <w:tc>
          <w:tcPr>
            <w:tcW w:w="1102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457" w:type="dxa"/>
            <w:vAlign w:val="center"/>
          </w:tcPr>
          <w:p w:rsidR="00156A33" w:rsidRDefault="00156A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156A33" w:rsidRDefault="00156A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6A33">
        <w:tc>
          <w:tcPr>
            <w:tcW w:w="534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人民币和外币资产负债表</w:t>
            </w:r>
          </w:p>
        </w:tc>
        <w:tc>
          <w:tcPr>
            <w:tcW w:w="1102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457" w:type="dxa"/>
            <w:vAlign w:val="center"/>
          </w:tcPr>
          <w:p w:rsidR="00156A33" w:rsidRDefault="00156A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156A33" w:rsidRDefault="00156A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6A33">
        <w:tc>
          <w:tcPr>
            <w:tcW w:w="534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本外币转换金额的测算依据</w:t>
            </w:r>
          </w:p>
        </w:tc>
        <w:tc>
          <w:tcPr>
            <w:tcW w:w="1102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457" w:type="dxa"/>
            <w:vAlign w:val="center"/>
          </w:tcPr>
          <w:p w:rsidR="00156A33" w:rsidRDefault="00156A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156A33" w:rsidRDefault="00156A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6A33">
        <w:tc>
          <w:tcPr>
            <w:tcW w:w="534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相关交易需经银行业监督管理部门批准的，应提供相应批准文件的复印件</w:t>
            </w:r>
          </w:p>
        </w:tc>
        <w:tc>
          <w:tcPr>
            <w:tcW w:w="1102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457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 w:rsidR="00156A33" w:rsidRDefault="00022EF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457" w:type="dxa"/>
            <w:vAlign w:val="center"/>
          </w:tcPr>
          <w:p w:rsidR="00156A33" w:rsidRDefault="00156A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156A33" w:rsidRDefault="00156A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156A33" w:rsidRDefault="00F20F3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申请人可通过窗口、邮寄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、国家外汇管理局政务服务网上办理系统（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http://zwfw.safe.gov.cn/asone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等方式提交材料。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156A33" w:rsidRDefault="00022EF6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156A33" w:rsidRDefault="00022EF6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156A33" w:rsidRDefault="00022EF6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不予受理的，出具不予受理通知书；进行审查报批，不予许可的，出具不予许可通知书。受理的，审核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作出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批准或者不予批准的决定，对于符合规定条件予以批准的，出具正式公文；不予批准的，做出不予批准的行政许可书面决定并说明理由。</w:t>
      </w:r>
    </w:p>
    <w:p w:rsidR="00156A33" w:rsidRDefault="00022EF6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材料不全或不符合法定形式的，一次性告知补正材料，并出具《行政许可补正通知书》。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156A33" w:rsidRDefault="00022EF6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一般程序：申请、受理、审查、决定、出具正式公文。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156A33" w:rsidRDefault="00022EF6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156A33" w:rsidRDefault="00022EF6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156A33" w:rsidRDefault="00022EF6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156A33" w:rsidRDefault="00022EF6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（十二）审批结果</w:t>
      </w:r>
    </w:p>
    <w:p w:rsidR="00156A33" w:rsidRDefault="00022EF6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正式公文。</w:t>
      </w:r>
    </w:p>
    <w:p w:rsidR="00156A33" w:rsidRDefault="00022EF6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156A33" w:rsidRDefault="00022EF6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156A33" w:rsidRDefault="00022EF6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156A33" w:rsidRDefault="00022EF6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</w:t>
      </w:r>
      <w:proofErr w:type="gramStart"/>
      <w:r>
        <w:rPr>
          <w:rFonts w:ascii="Times New Roman" w:eastAsia="仿宋_GB2312" w:hAnsi="Times New Roman" w:cs="Times New Roman"/>
          <w:sz w:val="30"/>
          <w:szCs w:val="30"/>
        </w:rPr>
        <w:t>规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>办理相关业务。</w:t>
      </w:r>
    </w:p>
    <w:p w:rsidR="00156A33" w:rsidRDefault="00022EF6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（十五）事项审查类型</w:t>
      </w:r>
    </w:p>
    <w:p w:rsidR="00156A33" w:rsidRDefault="00022EF6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前审后批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156A33" w:rsidRDefault="00022EF6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（十六）办公地址和时间</w:t>
      </w:r>
    </w:p>
    <w:p w:rsidR="00156A33" w:rsidRDefault="0086108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0"/>
          <w:szCs w:val="30"/>
        </w:rPr>
        <w:t>国家外汇局管理局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办公地址：</w:t>
      </w:r>
      <w:r w:rsidRPr="00826641">
        <w:rPr>
          <w:rFonts w:ascii="Times New Roman" w:eastAsia="仿宋_GB2312" w:hAnsi="Times New Roman" w:cs="Times New Roman" w:hint="eastAsia"/>
          <w:sz w:val="30"/>
          <w:szCs w:val="30"/>
        </w:rPr>
        <w:t>江苏省南京市秦淮区朝天宫街道建邺路</w:t>
      </w:r>
      <w:r w:rsidRPr="00826641">
        <w:rPr>
          <w:rFonts w:ascii="Times New Roman" w:eastAsia="仿宋_GB2312" w:hAnsi="Times New Roman" w:cs="Times New Roman" w:hint="eastAsia"/>
          <w:sz w:val="30"/>
          <w:szCs w:val="30"/>
        </w:rPr>
        <w:t>88</w:t>
      </w:r>
      <w:r w:rsidRPr="00826641">
        <w:rPr>
          <w:rFonts w:ascii="Times New Roman" w:eastAsia="仿宋_GB2312" w:hAnsi="Times New Roman" w:cs="Times New Roman" w:hint="eastAsia"/>
          <w:sz w:val="30"/>
          <w:szCs w:val="30"/>
        </w:rPr>
        <w:t>号</w:t>
      </w:r>
    </w:p>
    <w:p w:rsidR="00156A33" w:rsidRDefault="00022EF6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国家外汇局管理局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办公时间：工作日</w:t>
      </w:r>
      <w:r>
        <w:rPr>
          <w:rFonts w:ascii="Times New Roman" w:eastAsia="仿宋_GB2312" w:hAnsi="Times New Roman" w:cs="Times New Roman"/>
          <w:sz w:val="30"/>
          <w:szCs w:val="30"/>
        </w:rPr>
        <w:t>8: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0-17:00 </w:t>
      </w:r>
    </w:p>
    <w:p w:rsidR="00156A33" w:rsidRDefault="00022EF6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（十七）禁止性要求</w:t>
      </w:r>
    </w:p>
    <w:p w:rsidR="00156A33" w:rsidRDefault="00022EF6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如符合上述条件，不存在不予许可的情况。</w:t>
      </w:r>
    </w:p>
    <w:p w:rsidR="00156A33" w:rsidRDefault="00022EF6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（十八）咨询途径</w:t>
      </w:r>
    </w:p>
    <w:p w:rsidR="00156A33" w:rsidRDefault="00022EF6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电话、网址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156A33" w:rsidRDefault="00022EF6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（十九）办理进程和结果公开查询</w:t>
      </w:r>
    </w:p>
    <w:p w:rsidR="00156A33" w:rsidRDefault="00022EF6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咨询、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进度查询</w:t>
      </w:r>
      <w:r>
        <w:rPr>
          <w:rFonts w:ascii="Times New Roman" w:eastAsia="仿宋_GB2312" w:hAnsi="Times New Roman" w:cs="Times New Roman"/>
          <w:sz w:val="30"/>
          <w:szCs w:val="30"/>
        </w:rPr>
        <w:t>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电话、</w:t>
      </w:r>
      <w:r>
        <w:rPr>
          <w:rFonts w:ascii="Times New Roman" w:eastAsia="仿宋_GB2312" w:hAnsi="Times New Roman" w:cs="Times New Roman"/>
          <w:sz w:val="30"/>
          <w:szCs w:val="30"/>
        </w:rPr>
        <w:t>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</w:t>
      </w:r>
    </w:p>
    <w:p w:rsidR="00156A33" w:rsidRDefault="00022EF6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025-84790218</w:t>
      </w:r>
    </w:p>
    <w:p w:rsidR="00156A33" w:rsidRDefault="00022EF6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网址：</w:t>
      </w:r>
      <w:r>
        <w:rPr>
          <w:rFonts w:ascii="Times New Roman" w:eastAsia="仿宋_GB2312" w:hAnsi="Times New Roman" w:cs="Times New Roman"/>
          <w:sz w:val="30"/>
          <w:szCs w:val="30"/>
        </w:rPr>
        <w:t>国家</w:t>
      </w:r>
      <w:r>
        <w:rPr>
          <w:rFonts w:ascii="Times New Roman" w:eastAsia="仿宋_GB2312" w:hAnsi="Times New Roman" w:cs="Times New Roman"/>
          <w:sz w:val="30"/>
          <w:szCs w:val="30"/>
          <w:lang w:val="zh-CN" w:bidi="zh-CN"/>
        </w:rPr>
        <w:t>外汇管理局官方互联网站</w:t>
      </w:r>
      <w:hyperlink r:id="rId15" w:history="1">
        <w:r w:rsidRPr="00F20F3F">
          <w:rPr>
            <w:rFonts w:ascii="Times New Roman" w:eastAsia="仿宋_GB2312" w:hAnsi="Times New Roman" w:cs="Times New Roman"/>
            <w:sz w:val="30"/>
            <w:szCs w:val="30"/>
            <w:lang w:bidi="zh-CN"/>
          </w:rPr>
          <w:t>www.safe.gov.cn</w:t>
        </w:r>
      </w:hyperlink>
      <w:r>
        <w:rPr>
          <w:rFonts w:ascii="Times New Roman" w:eastAsia="仿宋_GB2312" w:hAnsi="Times New Roman" w:cs="Times New Roman" w:hint="eastAsia"/>
          <w:sz w:val="30"/>
          <w:szCs w:val="30"/>
          <w:lang w:val="zh-CN" w:bidi="zh-CN"/>
        </w:rPr>
        <w:t>链接</w:t>
      </w:r>
      <w:r>
        <w:rPr>
          <w:rFonts w:ascii="Times New Roman" w:eastAsia="仿宋_GB2312" w:hAnsi="Times New Roman" w:cs="Times New Roman" w:hint="eastAsia"/>
          <w:sz w:val="30"/>
          <w:szCs w:val="30"/>
          <w:lang w:val="zh-CN" w:bidi="zh-CN"/>
        </w:rPr>
        <w:lastRenderedPageBreak/>
        <w:t>至江苏省分局</w:t>
      </w:r>
    </w:p>
    <w:p w:rsidR="00156A33" w:rsidRDefault="00022EF6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通过国家外汇管理局政务服务网上办理系统提交申请的，可在该系统内进行查询。</w:t>
      </w:r>
    </w:p>
    <w:p w:rsidR="00156A33" w:rsidRDefault="00022EF6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（二十）监督投诉渠道</w:t>
      </w:r>
    </w:p>
    <w:p w:rsidR="00156A33" w:rsidRDefault="00022EF6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监督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>
        <w:rPr>
          <w:rFonts w:ascii="Times New Roman" w:eastAsia="仿宋_GB2312" w:hAnsi="Times New Roman" w:cs="Times New Roman"/>
          <w:sz w:val="30"/>
          <w:szCs w:val="30"/>
        </w:rPr>
        <w:t>投诉等可通过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电话、</w:t>
      </w:r>
      <w:r>
        <w:rPr>
          <w:rFonts w:ascii="Times New Roman" w:eastAsia="仿宋_GB2312" w:hAnsi="Times New Roman" w:cs="Times New Roman"/>
          <w:sz w:val="30"/>
          <w:szCs w:val="30"/>
        </w:rPr>
        <w:t>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江苏省分局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</w:t>
      </w:r>
    </w:p>
    <w:p w:rsidR="00156A33" w:rsidRDefault="00022EF6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025-84790472</w:t>
      </w:r>
    </w:p>
    <w:p w:rsidR="00156A33" w:rsidRDefault="00022EF6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网址：</w:t>
      </w:r>
      <w:r>
        <w:rPr>
          <w:rFonts w:ascii="Times New Roman" w:eastAsia="仿宋_GB2312" w:hAnsi="Times New Roman" w:cs="Times New Roman"/>
          <w:sz w:val="30"/>
          <w:szCs w:val="30"/>
        </w:rPr>
        <w:t>国家</w:t>
      </w:r>
      <w:r>
        <w:rPr>
          <w:rFonts w:ascii="Times New Roman" w:eastAsia="仿宋_GB2312" w:hAnsi="Times New Roman" w:cs="Times New Roman"/>
          <w:sz w:val="30"/>
          <w:szCs w:val="30"/>
          <w:lang w:val="zh-CN" w:bidi="zh-CN"/>
        </w:rPr>
        <w:t>外汇管理局官方互联网站</w:t>
      </w:r>
      <w:hyperlink r:id="rId16" w:history="1">
        <w:r w:rsidRPr="00F20F3F">
          <w:rPr>
            <w:rFonts w:ascii="Times New Roman" w:eastAsia="仿宋_GB2312" w:hAnsi="Times New Roman" w:cs="Times New Roman"/>
            <w:sz w:val="30"/>
            <w:szCs w:val="30"/>
            <w:lang w:bidi="zh-CN"/>
          </w:rPr>
          <w:t>www.safe.gov.cn</w:t>
        </w:r>
      </w:hyperlink>
      <w:r>
        <w:rPr>
          <w:rFonts w:ascii="Times New Roman" w:eastAsia="仿宋_GB2312" w:hAnsi="Times New Roman" w:cs="Times New Roman" w:hint="eastAsia"/>
          <w:sz w:val="30"/>
          <w:szCs w:val="30"/>
          <w:lang w:val="zh-CN" w:bidi="zh-CN"/>
        </w:rPr>
        <w:t>链接至江苏省分局</w:t>
      </w:r>
    </w:p>
    <w:p w:rsidR="00156A33" w:rsidRDefault="00022EF6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（二十一）申请材料示范文本</w:t>
      </w:r>
    </w:p>
    <w:p w:rsidR="00156A33" w:rsidRDefault="00022EF6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无固定格式。有关内容要求详见（六）申请材料。</w:t>
      </w:r>
    </w:p>
    <w:p w:rsidR="00156A33" w:rsidRDefault="00022EF6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（二十二）常见问题解答</w:t>
      </w:r>
    </w:p>
    <w:p w:rsidR="00156A33" w:rsidRDefault="00022EF6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审批时限在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个工作日以内。</w:t>
      </w:r>
    </w:p>
    <w:p w:rsidR="00156A33" w:rsidRDefault="00022EF6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（二十三）常见错误示例</w:t>
      </w:r>
    </w:p>
    <w:p w:rsidR="00156A33" w:rsidRDefault="00022EF6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申请材料要件不全，例如没有银监部门批准件复印件等。</w:t>
      </w:r>
    </w:p>
    <w:p w:rsidR="00156A33" w:rsidRDefault="00022EF6">
      <w:pPr>
        <w:widowControl/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:rsidR="00156A33" w:rsidRDefault="00022EF6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基本流程图</w:t>
      </w:r>
    </w:p>
    <w:p w:rsidR="00156A33" w:rsidRDefault="00022EF6">
      <w:pPr>
        <w:ind w:righ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Group 63" o:spid="_x0000_s1027" style="position:absolute;left:0;text-align:left;margin-left:-39.65pt;margin-top:29.05pt;width:459.7pt;height:421.55pt;z-index:251658240" coordorigin="1007,2645" coordsize="9194,843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64" o:spid="_x0000_s1028" type="#_x0000_t32" style="position:absolute;left:2612;top:4069;width:17;height:1468" o:connectortype="straight" o:preferrelative="t">
              <v:stroke endarrow="block" miterlimit="2"/>
            </v:shape>
            <v:shape id="Straight Connector 65" o:spid="_x0000_s1029" type="#_x0000_t32" style="position:absolute;left:3540;top:5165;width:1299;height:1" o:connectortype="straight" o:preferrelative="t">
              <v:stroke endarrow="block" miterlimit="2"/>
            </v:shape>
            <v:shape id="Straight Connector 66" o:spid="_x0000_s1030" type="#_x0000_t32" style="position:absolute;left:3667;top:5969;width:1172;height:0" o:connectortype="straight" o:preferrelative="t">
              <v:stroke endarrow="block" miterlimit="2"/>
            </v:shape>
            <v:shape id="Straight Connector 67" o:spid="_x0000_s1031" type="#_x0000_t32" style="position:absolute;left:8191;top:4018;width:1;height:895;flip:y" o:connectortype="straight" o:preferrelative="t">
              <v:stroke endarrow="block" miterlimit="2"/>
            </v:shape>
            <v:shape id="Straight Connector 68" o:spid="_x0000_s1032" type="#_x0000_t32" style="position:absolute;left:2629;top:4357;width:4643;height:1;flip:x" o:connectortype="straight" o:preferrelative="t">
              <v:stroke endarrow="block" miterlimit="2"/>
            </v:shape>
            <v:shape id="Straight Connector 69" o:spid="_x0000_s1033" type="#_x0000_t32" style="position:absolute;left:5392;top:8028;width:0;height:437" o:connectortype="straight" o:preferrelative="t">
              <v:stroke endarrow="block" miterlimit="2"/>
            </v:shape>
            <v:shape id="Straight Connector 70" o:spid="_x0000_s1034" type="#_x0000_t32" style="position:absolute;left:6547;top:8999;width:17;height:905" o:connectortype="straight" o:preferrelative="t">
              <v:stroke endarrow="block" miterlimit="2"/>
            </v:shape>
            <v:shape id="Straight Connector 71" o:spid="_x0000_s1035" type="#_x0000_t32" style="position:absolute;left:4432;top:8999;width:1;height:905" o:connectortype="straight" o:preferrelative="t">
              <v:stroke endarrow="block" miterlimit="2"/>
            </v:shape>
            <v:shape id="Straight Connector 72" o:spid="_x0000_s1036" type="#_x0000_t32" style="position:absolute;left:2612;top:6202;width:0;height:1391" o:connectortype="straight" o:preferrelative="t">
              <v:stroke miterlimit="2"/>
            </v:shape>
            <v:shape id="Straight Connector 73" o:spid="_x0000_s1037" type="#_x0000_t32" style="position:absolute;left:2612;top:7593;width:822;height:0" o:connectortype="straight" o:preferrelative="t">
              <v:stroke endarrow="block" miterlimit="2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74" o:spid="_x0000_s1038" type="#_x0000_t110" style="position:absolute;left:1007;top:4643;width:3274;height:1889" o:preferrelative="t">
              <v:stroke miterlimit="2"/>
              <v:textbox>
                <w:txbxContent>
                  <w:p w:rsidR="00156A33" w:rsidRDefault="00022EF6">
                    <w:proofErr w:type="gramStart"/>
                    <w:r>
                      <w:rPr>
                        <w:rFonts w:hint="eastAsia"/>
                      </w:rPr>
                      <w:t>接件并</w:t>
                    </w:r>
                    <w:proofErr w:type="gramEnd"/>
                    <w:r>
                      <w:rPr>
                        <w:rFonts w:hint="eastAsia"/>
                      </w:rPr>
                      <w:t>当场（或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个工作日）</w:t>
                    </w:r>
                    <w:proofErr w:type="gramStart"/>
                    <w:r>
                      <w:rPr>
                        <w:rFonts w:hint="eastAsia"/>
                      </w:rPr>
                      <w:t>作出</w:t>
                    </w:r>
                    <w:proofErr w:type="gramEnd"/>
                    <w:r>
                      <w:rPr>
                        <w:rFonts w:hint="eastAsia"/>
                      </w:rPr>
                      <w:t>是否受理决定</w:t>
                    </w:r>
                  </w:p>
                  <w:p w:rsidR="00156A33" w:rsidRDefault="00156A33"/>
                </w:txbxContent>
              </v:textbox>
            </v:shape>
            <v:rect id="Rectangle 75" o:spid="_x0000_s1039" style="position:absolute;left:7272;top:3846;width:2094;height:796" o:preferrelative="t">
              <v:stroke miterlimit="2"/>
              <v:textbox>
                <w:txbxContent>
                  <w:p w:rsidR="00156A33" w:rsidRDefault="00022EF6"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  <w:p w:rsidR="00156A33" w:rsidRDefault="00156A33"/>
                </w:txbxContent>
              </v:textbox>
            </v:rect>
            <v:rect id="Rectangle 76" o:spid="_x0000_s1040" style="position:absolute;left:4839;top:4913;width:5362;height:500" o:preferrelative="t">
              <v:stroke miterlimit="2"/>
              <v:textbox>
                <w:txbxContent>
                  <w:p w:rsidR="00156A33" w:rsidRDefault="00022EF6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 w:rsidR="00156A33" w:rsidRDefault="00156A33"/>
                </w:txbxContent>
              </v:textbox>
            </v:rect>
            <v:rect id="Rectangle 77" o:spid="_x0000_s1041" style="position:absolute;left:4839;top:5765;width:5362;height:906" o:preferrelative="t">
              <v:stroke miterlimit="2"/>
              <v:textbox>
                <w:txbxContent>
                  <w:p w:rsidR="00156A33" w:rsidRDefault="00022EF6">
                    <w:r>
                      <w:rPr>
                        <w:rFonts w:hint="eastAsia"/>
                      </w:rPr>
                      <w:t>依法不予受理的，</w:t>
                    </w:r>
                    <w:proofErr w:type="gramStart"/>
                    <w:r>
                      <w:rPr>
                        <w:rFonts w:hint="eastAsia"/>
                      </w:rPr>
                      <w:t>作出</w:t>
                    </w:r>
                    <w:proofErr w:type="gramEnd"/>
                    <w:r>
                      <w:rPr>
                        <w:rFonts w:hint="eastAsia"/>
                      </w:rPr>
                      <w:t>不予受理决定，出具不予受理通知书</w:t>
                    </w:r>
                  </w:p>
                  <w:p w:rsidR="00156A33" w:rsidRDefault="00156A33"/>
                </w:txbxContent>
              </v:textbox>
            </v:rect>
            <v:rect id="Rectangle 78" o:spid="_x0000_s1042" style="position:absolute;left:3433;top:7425;width:4104;height:603" o:preferrelative="t">
              <v:stroke miterlimit="2"/>
              <v:textbox>
                <w:txbxContent>
                  <w:p w:rsidR="00156A33" w:rsidRDefault="00022EF6"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 w:rsidR="00156A33" w:rsidRDefault="00156A33"/>
                </w:txbxContent>
              </v:textbox>
            </v:rect>
            <v:rect id="Rectangle 79" o:spid="_x0000_s1043" style="position:absolute;left:3434;top:8465;width:4252;height:534" o:preferrelative="t">
              <v:stroke miterlimit="2"/>
              <v:textbox>
                <w:txbxContent>
                  <w:p w:rsidR="00156A33" w:rsidRDefault="00022EF6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 w:rsidR="00156A33" w:rsidRDefault="00156A33"/>
                </w:txbxContent>
              </v:textbox>
            </v:rect>
            <v:rect id="Rectangle 80" o:spid="_x0000_s1044" style="position:absolute;left:1771;top:2645;width:2744;height:1424" o:preferrelative="t">
              <v:stroke miterlimit="2"/>
              <v:textbox>
                <w:txbxContent>
                  <w:p w:rsidR="00156A33" w:rsidRDefault="00022EF6"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 w:rsidR="00156A33" w:rsidRDefault="00156A33"/>
                </w:txbxContent>
              </v:textbox>
            </v:rect>
            <v:rect id="Rectangle 81" o:spid="_x0000_s1045" style="position:absolute;left:3433;top:9904;width:1747;height:1172" o:preferrelative="t">
              <v:stroke miterlimit="2"/>
              <v:textbox>
                <w:txbxContent>
                  <w:p w:rsidR="00156A33" w:rsidRDefault="00022EF6"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 w:rsidR="00156A33" w:rsidRDefault="00156A33"/>
                </w:txbxContent>
              </v:textbox>
            </v:rect>
            <v:rect id="Rectangle 82" o:spid="_x0000_s1046" style="position:absolute;left:5790;top:9904;width:1747;height:1172" o:preferrelative="t">
              <v:stroke miterlimit="2"/>
              <v:textbox>
                <w:txbxContent>
                  <w:p w:rsidR="00156A33" w:rsidRDefault="00022EF6">
                    <w:r>
                      <w:rPr>
                        <w:rFonts w:hint="eastAsia"/>
                      </w:rPr>
                      <w:t>依法</w:t>
                    </w:r>
                    <w:proofErr w:type="gramStart"/>
                    <w:r>
                      <w:rPr>
                        <w:rFonts w:hint="eastAsia"/>
                      </w:rPr>
                      <w:t>作出</w:t>
                    </w:r>
                    <w:proofErr w:type="gramEnd"/>
                    <w:r>
                      <w:rPr>
                        <w:rFonts w:hint="eastAsia"/>
                      </w:rPr>
                      <w:t>不予许可决定，并送达</w:t>
                    </w:r>
                  </w:p>
                  <w:p w:rsidR="00156A33" w:rsidRDefault="00156A33"/>
                </w:txbxContent>
              </v:textbox>
            </v:rect>
          </v:group>
        </w:pict>
      </w:r>
    </w:p>
    <w:sectPr w:rsidR="00156A33">
      <w:footerReference w:type="default" r:id="rId1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F6" w:rsidRDefault="00022EF6">
      <w:r>
        <w:separator/>
      </w:r>
    </w:p>
  </w:endnote>
  <w:endnote w:type="continuationSeparator" w:id="0">
    <w:p w:rsidR="00022EF6" w:rsidRDefault="0002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33" w:rsidRDefault="00156A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33" w:rsidRDefault="00022EF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:rsidR="00156A33" w:rsidRDefault="00156A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33" w:rsidRDefault="00156A3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33" w:rsidRDefault="00022EF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 w:rsidR="00156A33" w:rsidRDefault="00156A3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33" w:rsidRDefault="00022EF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08D" w:rsidRPr="0086108D">
      <w:rPr>
        <w:noProof/>
        <w:lang w:val="zh-CN"/>
      </w:rPr>
      <w:t>6</w:t>
    </w:r>
    <w:r>
      <w:fldChar w:fldCharType="end"/>
    </w:r>
  </w:p>
  <w:p w:rsidR="00156A33" w:rsidRDefault="00156A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F6" w:rsidRDefault="00022EF6">
      <w:r>
        <w:separator/>
      </w:r>
    </w:p>
  </w:footnote>
  <w:footnote w:type="continuationSeparator" w:id="0">
    <w:p w:rsidR="00022EF6" w:rsidRDefault="0002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33" w:rsidRDefault="00156A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33" w:rsidRDefault="00156A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33" w:rsidRDefault="00156A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131E"/>
    <w:rsid w:val="00003372"/>
    <w:rsid w:val="00012E9F"/>
    <w:rsid w:val="00017E6C"/>
    <w:rsid w:val="00022191"/>
    <w:rsid w:val="00022EF6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1708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01BF0"/>
    <w:rsid w:val="001110B5"/>
    <w:rsid w:val="0012271F"/>
    <w:rsid w:val="00130519"/>
    <w:rsid w:val="00135BEE"/>
    <w:rsid w:val="0014667A"/>
    <w:rsid w:val="00154B58"/>
    <w:rsid w:val="00156A33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23CA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46DE8"/>
    <w:rsid w:val="00253F7B"/>
    <w:rsid w:val="00263773"/>
    <w:rsid w:val="00263929"/>
    <w:rsid w:val="00263B1F"/>
    <w:rsid w:val="00291C17"/>
    <w:rsid w:val="0029313A"/>
    <w:rsid w:val="002933AB"/>
    <w:rsid w:val="002950D9"/>
    <w:rsid w:val="002B0B1C"/>
    <w:rsid w:val="002B3BD0"/>
    <w:rsid w:val="002B598D"/>
    <w:rsid w:val="002B61C1"/>
    <w:rsid w:val="002C5527"/>
    <w:rsid w:val="002E1323"/>
    <w:rsid w:val="002F3868"/>
    <w:rsid w:val="002F54E5"/>
    <w:rsid w:val="00302119"/>
    <w:rsid w:val="00302E87"/>
    <w:rsid w:val="00305850"/>
    <w:rsid w:val="00310261"/>
    <w:rsid w:val="0031063C"/>
    <w:rsid w:val="00343044"/>
    <w:rsid w:val="00344B01"/>
    <w:rsid w:val="00353AC4"/>
    <w:rsid w:val="00360920"/>
    <w:rsid w:val="003616B4"/>
    <w:rsid w:val="003700DA"/>
    <w:rsid w:val="003A57B2"/>
    <w:rsid w:val="003C0E26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05F28"/>
    <w:rsid w:val="0051222F"/>
    <w:rsid w:val="00526B2B"/>
    <w:rsid w:val="005310DD"/>
    <w:rsid w:val="005362B0"/>
    <w:rsid w:val="00542447"/>
    <w:rsid w:val="00564312"/>
    <w:rsid w:val="005736E4"/>
    <w:rsid w:val="0057582D"/>
    <w:rsid w:val="005A2981"/>
    <w:rsid w:val="005C6937"/>
    <w:rsid w:val="005C7F02"/>
    <w:rsid w:val="005F0A86"/>
    <w:rsid w:val="005F144A"/>
    <w:rsid w:val="005F1C00"/>
    <w:rsid w:val="0061621E"/>
    <w:rsid w:val="00621907"/>
    <w:rsid w:val="00630AA8"/>
    <w:rsid w:val="00630B2E"/>
    <w:rsid w:val="006310B9"/>
    <w:rsid w:val="00643D2A"/>
    <w:rsid w:val="00664E11"/>
    <w:rsid w:val="00667D08"/>
    <w:rsid w:val="00673B30"/>
    <w:rsid w:val="00696E5D"/>
    <w:rsid w:val="006B5B86"/>
    <w:rsid w:val="006C07A1"/>
    <w:rsid w:val="006C5908"/>
    <w:rsid w:val="006C633E"/>
    <w:rsid w:val="006D56AB"/>
    <w:rsid w:val="006D734F"/>
    <w:rsid w:val="006D74BC"/>
    <w:rsid w:val="006E043F"/>
    <w:rsid w:val="006E19C3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9071F"/>
    <w:rsid w:val="007A2780"/>
    <w:rsid w:val="007A68EA"/>
    <w:rsid w:val="007A77B5"/>
    <w:rsid w:val="007B06FC"/>
    <w:rsid w:val="007B0FEF"/>
    <w:rsid w:val="007B2DB5"/>
    <w:rsid w:val="007B6E4D"/>
    <w:rsid w:val="007D2C11"/>
    <w:rsid w:val="007D6171"/>
    <w:rsid w:val="007D69EA"/>
    <w:rsid w:val="007E2C7B"/>
    <w:rsid w:val="007E411B"/>
    <w:rsid w:val="007F0863"/>
    <w:rsid w:val="007F2F3B"/>
    <w:rsid w:val="007F403A"/>
    <w:rsid w:val="00802307"/>
    <w:rsid w:val="00815107"/>
    <w:rsid w:val="0082168E"/>
    <w:rsid w:val="00821968"/>
    <w:rsid w:val="008471B6"/>
    <w:rsid w:val="00851521"/>
    <w:rsid w:val="0085686A"/>
    <w:rsid w:val="00860878"/>
    <w:rsid w:val="0086108D"/>
    <w:rsid w:val="008731FF"/>
    <w:rsid w:val="0088294A"/>
    <w:rsid w:val="0089282A"/>
    <w:rsid w:val="008A4538"/>
    <w:rsid w:val="008A704B"/>
    <w:rsid w:val="008B08D2"/>
    <w:rsid w:val="008B4EE5"/>
    <w:rsid w:val="008B5807"/>
    <w:rsid w:val="008D373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4984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35B56"/>
    <w:rsid w:val="00A42E69"/>
    <w:rsid w:val="00A430E2"/>
    <w:rsid w:val="00A45CA7"/>
    <w:rsid w:val="00A51415"/>
    <w:rsid w:val="00A6014E"/>
    <w:rsid w:val="00A60356"/>
    <w:rsid w:val="00A66F2C"/>
    <w:rsid w:val="00A81DF1"/>
    <w:rsid w:val="00A90EF3"/>
    <w:rsid w:val="00AA7717"/>
    <w:rsid w:val="00AB131E"/>
    <w:rsid w:val="00AB55C5"/>
    <w:rsid w:val="00AB644F"/>
    <w:rsid w:val="00AC2FF7"/>
    <w:rsid w:val="00AC3F5E"/>
    <w:rsid w:val="00AE7ACF"/>
    <w:rsid w:val="00B047AB"/>
    <w:rsid w:val="00B06409"/>
    <w:rsid w:val="00B17D66"/>
    <w:rsid w:val="00B31FD9"/>
    <w:rsid w:val="00B35D3A"/>
    <w:rsid w:val="00B417C3"/>
    <w:rsid w:val="00B422F1"/>
    <w:rsid w:val="00B71531"/>
    <w:rsid w:val="00B7456C"/>
    <w:rsid w:val="00B84131"/>
    <w:rsid w:val="00B8630E"/>
    <w:rsid w:val="00B931F4"/>
    <w:rsid w:val="00B95573"/>
    <w:rsid w:val="00B96395"/>
    <w:rsid w:val="00B979C1"/>
    <w:rsid w:val="00BA2AF8"/>
    <w:rsid w:val="00BB2650"/>
    <w:rsid w:val="00BB5BDC"/>
    <w:rsid w:val="00BB7B76"/>
    <w:rsid w:val="00BC639E"/>
    <w:rsid w:val="00BD233D"/>
    <w:rsid w:val="00BF4EF0"/>
    <w:rsid w:val="00C00CBB"/>
    <w:rsid w:val="00C02E44"/>
    <w:rsid w:val="00C147D2"/>
    <w:rsid w:val="00C2075F"/>
    <w:rsid w:val="00C23799"/>
    <w:rsid w:val="00C274C9"/>
    <w:rsid w:val="00C31E02"/>
    <w:rsid w:val="00C45BC1"/>
    <w:rsid w:val="00C54291"/>
    <w:rsid w:val="00C672C3"/>
    <w:rsid w:val="00C712B2"/>
    <w:rsid w:val="00C94325"/>
    <w:rsid w:val="00C97FED"/>
    <w:rsid w:val="00CA0189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F184E"/>
    <w:rsid w:val="00D01626"/>
    <w:rsid w:val="00D33A4D"/>
    <w:rsid w:val="00D33F76"/>
    <w:rsid w:val="00D34E0F"/>
    <w:rsid w:val="00D41047"/>
    <w:rsid w:val="00D41F5E"/>
    <w:rsid w:val="00D43DC0"/>
    <w:rsid w:val="00D54E56"/>
    <w:rsid w:val="00D6407D"/>
    <w:rsid w:val="00D82F31"/>
    <w:rsid w:val="00D93E78"/>
    <w:rsid w:val="00DC6E91"/>
    <w:rsid w:val="00DC7514"/>
    <w:rsid w:val="00DD3845"/>
    <w:rsid w:val="00E04A43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D6F1A"/>
    <w:rsid w:val="00EE02BC"/>
    <w:rsid w:val="00EE6970"/>
    <w:rsid w:val="00EF38D0"/>
    <w:rsid w:val="00EF3DDF"/>
    <w:rsid w:val="00EF4A8C"/>
    <w:rsid w:val="00F20F3F"/>
    <w:rsid w:val="00F25B04"/>
    <w:rsid w:val="00F2678C"/>
    <w:rsid w:val="00F27B38"/>
    <w:rsid w:val="00F40278"/>
    <w:rsid w:val="00F41832"/>
    <w:rsid w:val="00F45870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399B6573"/>
    <w:rsid w:val="62AF67D5"/>
    <w:rsid w:val="736E58AF"/>
    <w:rsid w:val="73DC2BA0"/>
    <w:rsid w:val="7E0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Straight Connector 64"/>
        <o:r id="V:Rule2" type="connector" idref="#Straight Connector 66"/>
        <o:r id="V:Rule3" type="connector" idref="#Straight Connector 65"/>
        <o:r id="V:Rule4" type="connector" idref="#Straight Connector 70"/>
        <o:r id="V:Rule5" type="connector" idref="#Straight Connector 69"/>
        <o:r id="V:Rule6" type="connector" idref="#Straight Connector 67"/>
        <o:r id="V:Rule7" type="connector" idref="#Straight Connector 68"/>
        <o:r id="V:Rule8" type="connector" idref="#Straight Connector 73"/>
        <o:r id="V:Rule9" type="connector" idref="#Straight Connector 71"/>
        <o:r id="V:Rule10" type="connector" idref="#Straight Connector 72"/>
      </o:rules>
    </o:shapelayout>
  </w:shapeDefaults>
  <w:decimalSymbol w:val="."/>
  <w:listSeparator w:val=","/>
  <w15:docId w15:val="{C8650F7B-2574-4530-BCB7-9A958D9A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Pr>
      <w:rFonts w:ascii="ˎ̥" w:hAnsi="ˎ̥" w:hint="default"/>
      <w:color w:val="0453CC"/>
      <w:sz w:val="20"/>
      <w:szCs w:val="20"/>
      <w:u w:val="none"/>
    </w:rPr>
  </w:style>
  <w:style w:type="character" w:styleId="ab">
    <w:name w:val="annotation reference"/>
    <w:basedOn w:val="a0"/>
    <w:unhideWhenUsed/>
    <w:qFormat/>
    <w:rPr>
      <w:sz w:val="21"/>
      <w:szCs w:val="21"/>
    </w:rPr>
  </w:style>
  <w:style w:type="character" w:styleId="ac">
    <w:name w:val="footnote reference"/>
    <w:unhideWhenUsed/>
    <w:qFormat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qFormat/>
    <w:rPr>
      <w:rFonts w:ascii="Calibri" w:hAnsi="Calibri" w:cs="黑体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qFormat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qFormat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仿宋_GB2312" w:eastAsia="仿宋_GB2312" w:hAnsi="Calibri" w:cs="Times New Roman"/>
      <w:sz w:val="30"/>
      <w:szCs w:val="30"/>
    </w:rPr>
  </w:style>
  <w:style w:type="character" w:customStyle="1" w:styleId="Char4">
    <w:name w:val="脚注文本 Char"/>
    <w:basedOn w:val="a0"/>
    <w:uiPriority w:val="99"/>
    <w:semiHidden/>
    <w:qFormat/>
    <w:rPr>
      <w:kern w:val="2"/>
      <w:sz w:val="18"/>
      <w:szCs w:val="18"/>
    </w:rPr>
  </w:style>
  <w:style w:type="character" w:customStyle="1" w:styleId="Char10">
    <w:name w:val="脚注文本 Char1"/>
    <w:basedOn w:val="a0"/>
    <w:link w:val="a8"/>
    <w:semiHidden/>
    <w:qFormat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qFormat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safe.gov.c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afe.gov.cn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编号：57015               _x0001_</dc:title>
  <dc:creator>裴建君2</dc:creator>
  <cp:lastModifiedBy>孟田</cp:lastModifiedBy>
  <cp:revision>1</cp:revision>
  <cp:lastPrinted>2017-11-24T00:22:00Z</cp:lastPrinted>
  <dcterms:created xsi:type="dcterms:W3CDTF">2020-02-26T12:18:00Z</dcterms:created>
  <dcterms:modified xsi:type="dcterms:W3CDTF">2021-02-07T03:31:00Z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