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D5" w:rsidRDefault="004B5CA9">
      <w:pPr>
        <w:ind w:right="300"/>
        <w:rPr>
          <w:rFonts w:ascii="Times New Roman" w:eastAsia="黑体" w:hAnsi="Times New Roman" w:cs="Times New Roman"/>
          <w:sz w:val="48"/>
          <w:szCs w:val="48"/>
        </w:rPr>
      </w:pPr>
      <w:r>
        <w:rPr>
          <w:rFonts w:ascii="Times New Roman" w:eastAsia="黑体" w:hAnsi="Times New Roman" w:cs="Times New Roman"/>
          <w:sz w:val="48"/>
          <w:szCs w:val="48"/>
        </w:rPr>
        <w:t>编号：</w:t>
      </w:r>
      <w:r>
        <w:rPr>
          <w:rFonts w:ascii="Times New Roman" w:eastAsia="黑体" w:hAnsi="Times New Roman" w:cs="Times New Roman"/>
          <w:sz w:val="48"/>
          <w:szCs w:val="48"/>
        </w:rPr>
        <w:t>57013</w:t>
      </w:r>
      <w:r>
        <w:rPr>
          <w:rFonts w:ascii="Times New Roman" w:eastAsia="黑体" w:hAnsi="Times New Roman" w:cs="Times New Roman" w:hint="eastAsia"/>
          <w:sz w:val="48"/>
          <w:szCs w:val="48"/>
        </w:rPr>
        <w:t xml:space="preserve">               </w:t>
      </w:r>
      <w:r>
        <w:rPr>
          <w:rFonts w:ascii="Times New Roman" w:eastAsia="黑体" w:hAnsi="Times New Roman" w:cs="Times New Roman"/>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7pt;height:69.75pt">
            <v:imagedata r:id="rId7" o:title=""/>
          </v:shape>
        </w:pict>
      </w:r>
    </w:p>
    <w:p w:rsidR="00AD57D5" w:rsidRDefault="00AD57D5">
      <w:pPr>
        <w:ind w:right="300"/>
        <w:jc w:val="center"/>
        <w:rPr>
          <w:rFonts w:ascii="Times New Roman" w:eastAsia="黑体" w:hAnsi="Times New Roman" w:cs="Times New Roman"/>
          <w:sz w:val="30"/>
          <w:szCs w:val="30"/>
        </w:rPr>
      </w:pPr>
    </w:p>
    <w:p w:rsidR="00AD57D5" w:rsidRDefault="00AD57D5">
      <w:pPr>
        <w:ind w:right="300"/>
        <w:jc w:val="center"/>
        <w:rPr>
          <w:rFonts w:ascii="Times New Roman" w:eastAsia="黑体" w:hAnsi="Times New Roman" w:cs="Times New Roman"/>
          <w:sz w:val="30"/>
          <w:szCs w:val="30"/>
        </w:rPr>
      </w:pPr>
    </w:p>
    <w:p w:rsidR="00AD57D5" w:rsidRDefault="00AD57D5">
      <w:pPr>
        <w:ind w:right="300"/>
        <w:jc w:val="center"/>
        <w:rPr>
          <w:rFonts w:ascii="Times New Roman" w:eastAsia="黑体" w:hAnsi="Times New Roman" w:cs="Times New Roman"/>
          <w:sz w:val="30"/>
          <w:szCs w:val="30"/>
        </w:rPr>
      </w:pPr>
    </w:p>
    <w:p w:rsidR="00AD57D5" w:rsidRDefault="00AD57D5">
      <w:pPr>
        <w:ind w:right="300"/>
        <w:jc w:val="center"/>
        <w:rPr>
          <w:rFonts w:ascii="Times New Roman" w:eastAsia="黑体" w:hAnsi="Times New Roman" w:cs="Times New Roman"/>
          <w:sz w:val="52"/>
          <w:szCs w:val="52"/>
        </w:rPr>
      </w:pPr>
    </w:p>
    <w:p w:rsidR="00AD57D5" w:rsidRDefault="004B5CA9">
      <w:pPr>
        <w:ind w:right="300"/>
        <w:jc w:val="center"/>
        <w:rPr>
          <w:rFonts w:ascii="Times New Roman" w:eastAsia="黑体" w:hAnsi="Times New Roman" w:cs="Times New Roman"/>
          <w:sz w:val="52"/>
          <w:szCs w:val="52"/>
        </w:rPr>
      </w:pPr>
      <w:r>
        <w:rPr>
          <w:rFonts w:ascii="Times New Roman" w:eastAsia="黑体" w:hAnsi="Times New Roman" w:cs="Times New Roman"/>
          <w:sz w:val="52"/>
          <w:szCs w:val="52"/>
        </w:rPr>
        <w:t>“</w:t>
      </w:r>
      <w:r>
        <w:rPr>
          <w:rFonts w:ascii="Times New Roman" w:eastAsia="黑体" w:hAnsi="Times New Roman" w:cs="Times New Roman"/>
          <w:sz w:val="52"/>
          <w:szCs w:val="52"/>
        </w:rPr>
        <w:t>银行、农村信用社、兑换机构及非金融机构等结汇、售汇业务市场准入、退出审批</w:t>
      </w:r>
      <w:r>
        <w:rPr>
          <w:rFonts w:ascii="Times New Roman" w:eastAsia="黑体" w:hAnsi="Times New Roman" w:cs="Times New Roman"/>
          <w:sz w:val="52"/>
          <w:szCs w:val="52"/>
        </w:rPr>
        <w:t>”</w:t>
      </w:r>
      <w:r>
        <w:rPr>
          <w:rFonts w:ascii="Times New Roman" w:eastAsia="黑体" w:hAnsi="Times New Roman" w:cs="Times New Roman"/>
          <w:sz w:val="52"/>
          <w:szCs w:val="52"/>
        </w:rPr>
        <w:t>行政审批</w:t>
      </w:r>
    </w:p>
    <w:p w:rsidR="00AD57D5" w:rsidRDefault="004B5CA9">
      <w:pPr>
        <w:ind w:right="300"/>
        <w:jc w:val="center"/>
        <w:rPr>
          <w:rFonts w:ascii="Times New Roman" w:eastAsia="黑体" w:hAnsi="Times New Roman" w:cs="Times New Roman"/>
          <w:sz w:val="52"/>
          <w:szCs w:val="52"/>
        </w:rPr>
      </w:pPr>
      <w:r>
        <w:rPr>
          <w:rFonts w:ascii="Times New Roman" w:eastAsia="黑体" w:hAnsi="Times New Roman" w:cs="Times New Roman"/>
          <w:sz w:val="52"/>
          <w:szCs w:val="52"/>
        </w:rPr>
        <w:t>服务指南</w:t>
      </w:r>
    </w:p>
    <w:p w:rsidR="00AD57D5" w:rsidRDefault="00AD57D5">
      <w:pPr>
        <w:ind w:right="300"/>
        <w:jc w:val="center"/>
        <w:rPr>
          <w:rFonts w:ascii="Times New Roman" w:eastAsia="仿宋_GB2312" w:hAnsi="Times New Roman" w:cs="Times New Roman"/>
          <w:sz w:val="30"/>
          <w:szCs w:val="30"/>
        </w:rPr>
      </w:pPr>
    </w:p>
    <w:p w:rsidR="00AD57D5" w:rsidRDefault="00AD57D5">
      <w:pPr>
        <w:ind w:right="300"/>
        <w:jc w:val="center"/>
        <w:rPr>
          <w:rFonts w:ascii="Times New Roman" w:eastAsia="仿宋_GB2312" w:hAnsi="Times New Roman" w:cs="Times New Roman"/>
          <w:sz w:val="30"/>
          <w:szCs w:val="30"/>
        </w:rPr>
      </w:pPr>
    </w:p>
    <w:p w:rsidR="00AD57D5" w:rsidRDefault="00AD57D5">
      <w:pPr>
        <w:ind w:right="300"/>
        <w:jc w:val="center"/>
        <w:rPr>
          <w:rFonts w:ascii="Times New Roman" w:eastAsia="仿宋_GB2312" w:hAnsi="Times New Roman" w:cs="Times New Roman"/>
          <w:sz w:val="30"/>
          <w:szCs w:val="30"/>
        </w:rPr>
      </w:pPr>
    </w:p>
    <w:p w:rsidR="00AD57D5" w:rsidRDefault="00AD57D5">
      <w:pPr>
        <w:ind w:right="300"/>
        <w:jc w:val="center"/>
        <w:rPr>
          <w:rFonts w:ascii="Times New Roman" w:eastAsia="仿宋_GB2312" w:hAnsi="Times New Roman" w:cs="Times New Roman"/>
          <w:sz w:val="30"/>
          <w:szCs w:val="30"/>
        </w:rPr>
      </w:pPr>
    </w:p>
    <w:p w:rsidR="00AD57D5" w:rsidRDefault="00AD57D5">
      <w:pPr>
        <w:ind w:right="300"/>
        <w:jc w:val="center"/>
        <w:rPr>
          <w:rFonts w:ascii="Times New Roman" w:eastAsia="仿宋_GB2312" w:hAnsi="Times New Roman" w:cs="Times New Roman"/>
          <w:sz w:val="30"/>
          <w:szCs w:val="30"/>
        </w:rPr>
      </w:pPr>
    </w:p>
    <w:p w:rsidR="00AD57D5" w:rsidRDefault="00AD57D5">
      <w:pPr>
        <w:ind w:right="300"/>
        <w:jc w:val="center"/>
        <w:rPr>
          <w:rFonts w:ascii="Times New Roman" w:eastAsia="仿宋_GB2312" w:hAnsi="Times New Roman" w:cs="Times New Roman"/>
          <w:sz w:val="30"/>
          <w:szCs w:val="30"/>
        </w:rPr>
      </w:pPr>
    </w:p>
    <w:p w:rsidR="00AD57D5" w:rsidRDefault="004B5CA9">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发布日期：</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28</w:t>
      </w:r>
      <w:r>
        <w:rPr>
          <w:rFonts w:ascii="Times New Roman" w:eastAsia="仿宋_GB2312" w:hAnsi="Times New Roman" w:cs="Times New Roman"/>
          <w:sz w:val="30"/>
          <w:szCs w:val="30"/>
        </w:rPr>
        <w:t>日</w:t>
      </w:r>
    </w:p>
    <w:p w:rsidR="00AD57D5" w:rsidRDefault="004B5CA9">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实施日期：</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28</w:t>
      </w:r>
      <w:r>
        <w:rPr>
          <w:rFonts w:ascii="Times New Roman" w:eastAsia="仿宋_GB2312" w:hAnsi="Times New Roman" w:cs="Times New Roman"/>
          <w:sz w:val="30"/>
          <w:szCs w:val="30"/>
        </w:rPr>
        <w:t>日</w:t>
      </w:r>
    </w:p>
    <w:p w:rsidR="00AD57D5" w:rsidRDefault="004B5CA9">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发布机构：国家外汇管理局</w:t>
      </w:r>
      <w:r>
        <w:rPr>
          <w:rFonts w:ascii="Times New Roman" w:eastAsia="仿宋_GB2312" w:hAnsi="Times New Roman" w:cs="Times New Roman" w:hint="eastAsia"/>
          <w:sz w:val="30"/>
          <w:szCs w:val="30"/>
        </w:rPr>
        <w:t>江苏省分局</w:t>
      </w:r>
    </w:p>
    <w:p w:rsidR="00AD57D5" w:rsidRDefault="00AD57D5">
      <w:pPr>
        <w:ind w:right="300"/>
        <w:rPr>
          <w:rFonts w:ascii="Times New Roman" w:eastAsia="仿宋_GB2312" w:hAnsi="Times New Roman" w:cs="Times New Roman"/>
          <w:sz w:val="30"/>
          <w:szCs w:val="30"/>
        </w:rPr>
      </w:pPr>
    </w:p>
    <w:p w:rsidR="00AD57D5" w:rsidRDefault="00AD57D5">
      <w:pPr>
        <w:ind w:right="300"/>
        <w:rPr>
          <w:rFonts w:ascii="Times New Roman" w:eastAsia="仿宋_GB2312" w:hAnsi="Times New Roman" w:cs="Times New Roman"/>
          <w:sz w:val="30"/>
          <w:szCs w:val="30"/>
        </w:rPr>
        <w:sectPr w:rsidR="00AD57D5">
          <w:footerReference w:type="default" r:id="rId8"/>
          <w:pgSz w:w="11906" w:h="16838"/>
          <w:pgMar w:top="1440" w:right="1800" w:bottom="1440" w:left="1800" w:header="851" w:footer="992" w:gutter="0"/>
          <w:cols w:space="720"/>
          <w:docGrid w:type="lines" w:linePitch="312"/>
        </w:sectPr>
      </w:pPr>
    </w:p>
    <w:p w:rsidR="00AD57D5" w:rsidRDefault="004B5CA9">
      <w:pPr>
        <w:adjustRightInd w:val="0"/>
        <w:snapToGrid w:val="0"/>
        <w:spacing w:line="360" w:lineRule="auto"/>
        <w:jc w:val="left"/>
        <w:rPr>
          <w:rFonts w:ascii="Times New Roman" w:eastAsia="黑体" w:hAnsi="Times New Roman" w:cs="Times New Roman"/>
          <w:sz w:val="30"/>
          <w:szCs w:val="30"/>
        </w:rPr>
      </w:pPr>
      <w:r>
        <w:rPr>
          <w:rFonts w:ascii="Times New Roman" w:eastAsia="黑体" w:hAnsi="Times New Roman" w:cs="Times New Roman"/>
          <w:sz w:val="30"/>
          <w:szCs w:val="30"/>
        </w:rPr>
        <w:lastRenderedPageBreak/>
        <w:t>一、项目信息</w:t>
      </w:r>
    </w:p>
    <w:p w:rsidR="00AD57D5" w:rsidRDefault="004B5CA9">
      <w:pPr>
        <w:adjustRightInd w:val="0"/>
        <w:snapToGrid w:val="0"/>
        <w:spacing w:line="360" w:lineRule="auto"/>
        <w:ind w:firstLine="585"/>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项目名称：银行、农村信用社、兑换机构及非金融机构等结汇、售汇业务市场准入、退出审批；</w:t>
      </w:r>
    </w:p>
    <w:p w:rsidR="00AD57D5" w:rsidRDefault="004B5CA9">
      <w:pPr>
        <w:adjustRightInd w:val="0"/>
        <w:snapToGrid w:val="0"/>
        <w:spacing w:line="360" w:lineRule="auto"/>
        <w:ind w:firstLine="585"/>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项目编号：</w:t>
      </w:r>
      <w:r>
        <w:rPr>
          <w:rFonts w:ascii="Times New Roman" w:eastAsia="仿宋_GB2312" w:hAnsi="Times New Roman" w:cs="Times New Roman"/>
          <w:sz w:val="30"/>
          <w:szCs w:val="30"/>
        </w:rPr>
        <w:t>57013</w:t>
      </w:r>
      <w:r>
        <w:rPr>
          <w:rFonts w:ascii="Times New Roman" w:eastAsia="仿宋_GB2312" w:hAnsi="Times New Roman" w:cs="Times New Roman"/>
          <w:sz w:val="30"/>
          <w:szCs w:val="30"/>
        </w:rPr>
        <w:t>；</w:t>
      </w:r>
    </w:p>
    <w:p w:rsidR="00AD57D5" w:rsidRDefault="004B5CA9">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审批类别：行政许可。</w:t>
      </w:r>
    </w:p>
    <w:p w:rsidR="00AD57D5" w:rsidRDefault="004B5CA9">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二、适用范围</w:t>
      </w:r>
    </w:p>
    <w:p w:rsidR="00AD57D5" w:rsidRDefault="004B5CA9">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本指南适用于</w:t>
      </w:r>
      <w:r>
        <w:rPr>
          <w:rFonts w:ascii="Times New Roman" w:eastAsia="仿宋_GB2312" w:hAnsi="Times New Roman" w:cs="Times New Roman"/>
          <w:sz w:val="30"/>
          <w:szCs w:val="30"/>
        </w:rPr>
        <w:t>“</w:t>
      </w:r>
      <w:r>
        <w:rPr>
          <w:rFonts w:ascii="Times New Roman" w:eastAsia="仿宋_GB2312" w:hAnsi="Times New Roman" w:cs="Times New Roman"/>
          <w:sz w:val="30"/>
          <w:szCs w:val="30"/>
        </w:rPr>
        <w:t>银行、农村信用社、兑换机构及非金融机构等结汇、售汇业务市场准入、退出审批</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的申请和办理。</w:t>
      </w:r>
    </w:p>
    <w:p w:rsidR="00AD57D5" w:rsidRDefault="004B5CA9">
      <w:pPr>
        <w:tabs>
          <w:tab w:val="left" w:pos="3718"/>
        </w:tabs>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三、设定依据</w:t>
      </w:r>
      <w:r>
        <w:rPr>
          <w:rFonts w:ascii="Times New Roman" w:eastAsia="黑体" w:hAnsi="Times New Roman" w:cs="Times New Roman"/>
          <w:sz w:val="30"/>
          <w:szCs w:val="30"/>
        </w:rPr>
        <w:tab/>
      </w:r>
    </w:p>
    <w:p w:rsidR="00AD57D5" w:rsidRDefault="004B5CA9">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（一）《中华人民共和国外汇管理条例》（国务院令第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号）第二十四条：</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金融机构经营或者终止经营结汇、售汇业务，应当经外汇管理机关批准；经营或者终止经营其他外汇业务，应当按照职责分工经外汇管理机关或者金融业监督管理机构批准</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AD57D5" w:rsidRDefault="004B5CA9">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（二）《中华人民共</w:t>
      </w:r>
      <w:r>
        <w:rPr>
          <w:rFonts w:ascii="Times New Roman" w:eastAsia="仿宋_GB2312" w:hAnsi="Times New Roman" w:cs="Times New Roman"/>
          <w:sz w:val="30"/>
          <w:szCs w:val="30"/>
        </w:rPr>
        <w:t>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号）第五十三条：</w:t>
      </w:r>
      <w:r>
        <w:rPr>
          <w:rFonts w:ascii="Times New Roman" w:eastAsia="仿宋_GB2312" w:hAnsi="Times New Roman" w:cs="Times New Roman"/>
          <w:sz w:val="30"/>
          <w:szCs w:val="30"/>
        </w:rPr>
        <w:t>“</w:t>
      </w:r>
      <w:r>
        <w:rPr>
          <w:rFonts w:ascii="Times New Roman" w:eastAsia="仿宋_GB2312" w:hAnsi="Times New Roman" w:cs="Times New Roman"/>
          <w:sz w:val="30"/>
          <w:szCs w:val="30"/>
        </w:rPr>
        <w:t>非金融机构经营结汇、售汇业务，应当由国务院外汇管理部门批准，具体管理办法由国务院外汇管理部门另行制定</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AD57D5" w:rsidRDefault="004B5CA9">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四、银行（含农村信用社）人民币与外汇衍生产品业务市场准入</w:t>
      </w:r>
    </w:p>
    <w:p w:rsidR="00AD57D5" w:rsidRDefault="004B5CA9">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（一）办理依据</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《银行办理结售汇业务管理办法》（中国人民银行令</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2014</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第</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号）；</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《国家外汇管理局关于印发〈银行办理结售汇业务管理办</w:t>
      </w:r>
      <w:r>
        <w:rPr>
          <w:rFonts w:ascii="Times New Roman" w:eastAsia="仿宋_GB2312" w:hAnsi="Times New Roman" w:cs="Times New Roman"/>
          <w:sz w:val="30"/>
          <w:szCs w:val="30"/>
        </w:rPr>
        <w:lastRenderedPageBreak/>
        <w:t>法实施细则〉的通知》（汇发</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2014</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53</w:t>
      </w:r>
      <w:r>
        <w:rPr>
          <w:rFonts w:ascii="Times New Roman" w:eastAsia="仿宋_GB2312" w:hAnsi="Times New Roman" w:cs="Times New Roman"/>
          <w:sz w:val="30"/>
          <w:szCs w:val="30"/>
        </w:rPr>
        <w:t>号）。</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（二）受理机构</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仅适用于总行。</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政策性银</w:t>
      </w:r>
      <w:r>
        <w:rPr>
          <w:rFonts w:ascii="Times New Roman" w:eastAsia="仿宋_GB2312" w:hAnsi="Times New Roman" w:cs="Times New Roman"/>
          <w:sz w:val="30"/>
          <w:szCs w:val="30"/>
        </w:rPr>
        <w:t>行、全国性商业银行向国家外汇管理局申请；其他银行向所在地国家外汇管理局分局（外汇管理部）申请，如处于市（地、州、区）、县，应向所在地国家外汇管理局中心支局或支局申请，并逐级上报至国家外汇管理局分局（外汇管理部）。外国银行分行视同总行管理。</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（三）决定机构</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政策性银行、全国性商业银行决定机构为国家外汇管理局；其他银行决定机构为所在地国家外汇管理局分局（外汇管理部）。外国银行分行视同总行管理。</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（四）审批数量</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无数量限制。</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（五）办事条件</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申请人需同时符合以下条件：</w:t>
      </w:r>
    </w:p>
    <w:p w:rsidR="00AD57D5" w:rsidRDefault="004B5CA9">
      <w:pPr>
        <w:pStyle w:val="aa"/>
        <w:widowControl w:val="0"/>
        <w:adjustRightInd w:val="0"/>
        <w:snapToGri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kern w:val="2"/>
          <w:sz w:val="30"/>
          <w:szCs w:val="30"/>
        </w:rPr>
        <w:t>取得即期结售汇业务资格。</w:t>
      </w:r>
    </w:p>
    <w:p w:rsidR="00AD57D5" w:rsidRDefault="004B5CA9">
      <w:pPr>
        <w:pStyle w:val="aa"/>
        <w:widowControl w:val="0"/>
        <w:adjustRightInd w:val="0"/>
        <w:snapToGri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有健全的衍生产品交易风险管理制度和内部控制制度及适当的风险识别、计量、管理和交易系统，配备开展衍生产品业务所需要的专业人员。</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符合银行业监督管理部门有关金融衍生产品交易业务资格的规定。</w:t>
      </w:r>
    </w:p>
    <w:p w:rsidR="00AD57D5" w:rsidRDefault="004B5CA9">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（六）申请材料</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960"/>
        <w:gridCol w:w="457"/>
        <w:gridCol w:w="851"/>
        <w:gridCol w:w="2977"/>
        <w:gridCol w:w="1064"/>
      </w:tblGrid>
      <w:tr w:rsidR="00AD57D5">
        <w:tc>
          <w:tcPr>
            <w:tcW w:w="817"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序号</w:t>
            </w:r>
          </w:p>
        </w:tc>
        <w:tc>
          <w:tcPr>
            <w:tcW w:w="1276"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提交材料</w:t>
            </w:r>
            <w:r>
              <w:rPr>
                <w:rFonts w:ascii="Times New Roman" w:eastAsia="仿宋_GB2312" w:hAnsi="Times New Roman" w:cs="Times New Roman"/>
                <w:b/>
                <w:sz w:val="24"/>
                <w:szCs w:val="24"/>
              </w:rPr>
              <w:lastRenderedPageBreak/>
              <w:t>名称</w:t>
            </w:r>
          </w:p>
        </w:tc>
        <w:tc>
          <w:tcPr>
            <w:tcW w:w="960"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原件</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lastRenderedPageBreak/>
              <w:t>复印件</w:t>
            </w:r>
          </w:p>
        </w:tc>
        <w:tc>
          <w:tcPr>
            <w:tcW w:w="457"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份</w:t>
            </w:r>
            <w:r>
              <w:rPr>
                <w:rFonts w:ascii="Times New Roman" w:eastAsia="仿宋_GB2312" w:hAnsi="Times New Roman" w:cs="Times New Roman"/>
                <w:b/>
                <w:sz w:val="24"/>
                <w:szCs w:val="24"/>
              </w:rPr>
              <w:lastRenderedPageBreak/>
              <w:t>数</w:t>
            </w:r>
          </w:p>
        </w:tc>
        <w:tc>
          <w:tcPr>
            <w:tcW w:w="851"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纸质</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lastRenderedPageBreak/>
              <w:t>电子</w:t>
            </w:r>
          </w:p>
        </w:tc>
        <w:tc>
          <w:tcPr>
            <w:tcW w:w="2977"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要求</w:t>
            </w:r>
          </w:p>
        </w:tc>
        <w:tc>
          <w:tcPr>
            <w:tcW w:w="1064" w:type="dxa"/>
            <w:vAlign w:val="center"/>
          </w:tcPr>
          <w:p w:rsidR="00AD57D5" w:rsidRDefault="004B5CA9">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备注</w:t>
            </w:r>
          </w:p>
        </w:tc>
      </w:tr>
      <w:tr w:rsidR="00AD57D5">
        <w:tc>
          <w:tcPr>
            <w:tcW w:w="81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1</w:t>
            </w:r>
          </w:p>
        </w:tc>
        <w:tc>
          <w:tcPr>
            <w:tcW w:w="1276"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申请报告、可行性报告及业务计划书</w:t>
            </w:r>
          </w:p>
        </w:tc>
        <w:tc>
          <w:tcPr>
            <w:tcW w:w="960"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原件</w:t>
            </w:r>
          </w:p>
        </w:tc>
        <w:tc>
          <w:tcPr>
            <w:tcW w:w="45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1"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电子</w:t>
            </w:r>
          </w:p>
        </w:tc>
        <w:tc>
          <w:tcPr>
            <w:tcW w:w="2977" w:type="dxa"/>
            <w:vAlign w:val="center"/>
          </w:tcPr>
          <w:p w:rsidR="00AD57D5" w:rsidRDefault="00AD57D5">
            <w:pPr>
              <w:jc w:val="left"/>
              <w:rPr>
                <w:rFonts w:ascii="Times New Roman" w:eastAsia="仿宋_GB2312" w:hAnsi="Times New Roman" w:cs="Times New Roman"/>
                <w:b/>
                <w:bCs/>
                <w:kern w:val="44"/>
                <w:sz w:val="24"/>
                <w:szCs w:val="24"/>
              </w:rPr>
            </w:pPr>
          </w:p>
        </w:tc>
        <w:tc>
          <w:tcPr>
            <w:tcW w:w="1064" w:type="dxa"/>
            <w:vAlign w:val="center"/>
          </w:tcPr>
          <w:p w:rsidR="00AD57D5" w:rsidRDefault="00AD57D5">
            <w:pPr>
              <w:jc w:val="left"/>
              <w:rPr>
                <w:rFonts w:ascii="Times New Roman" w:eastAsia="仿宋_GB2312" w:hAnsi="Times New Roman" w:cs="Times New Roman"/>
                <w:b/>
                <w:bCs/>
                <w:kern w:val="44"/>
                <w:sz w:val="24"/>
                <w:szCs w:val="24"/>
              </w:rPr>
            </w:pPr>
          </w:p>
        </w:tc>
      </w:tr>
      <w:tr w:rsidR="00AD57D5">
        <w:tc>
          <w:tcPr>
            <w:tcW w:w="81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276"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衍生产品业务内部管理规章制度</w:t>
            </w:r>
          </w:p>
        </w:tc>
        <w:tc>
          <w:tcPr>
            <w:tcW w:w="960"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原件</w:t>
            </w:r>
          </w:p>
        </w:tc>
        <w:tc>
          <w:tcPr>
            <w:tcW w:w="45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1"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电子</w:t>
            </w:r>
          </w:p>
        </w:tc>
        <w:tc>
          <w:tcPr>
            <w:tcW w:w="2977" w:type="dxa"/>
            <w:vAlign w:val="center"/>
          </w:tcPr>
          <w:p w:rsidR="00AD57D5" w:rsidRDefault="004B5CA9">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应当至少包括以下内容：</w:t>
            </w:r>
          </w:p>
          <w:p w:rsidR="00AD57D5" w:rsidRDefault="004B5CA9">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．业务操作规程，包括交易受理、客户评估、单证审核等业务流程和操作标准；</w:t>
            </w:r>
            <w:r>
              <w:rPr>
                <w:rFonts w:ascii="Times New Roman" w:eastAsia="仿宋_GB2312" w:hAnsi="Times New Roman" w:cs="Times New Roman"/>
                <w:sz w:val="24"/>
                <w:szCs w:val="24"/>
              </w:rPr>
              <w:t>2</w:t>
            </w:r>
            <w:r>
              <w:rPr>
                <w:rFonts w:ascii="Times New Roman" w:eastAsia="仿宋_GB2312" w:hAnsi="Times New Roman" w:cs="Times New Roman"/>
                <w:sz w:val="24"/>
                <w:szCs w:val="24"/>
              </w:rPr>
              <w:t>．产品定价模型，包括定价方法和各项参数的选取标准及来源；</w:t>
            </w:r>
          </w:p>
          <w:p w:rsidR="00AD57D5" w:rsidRDefault="004B5CA9">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．风险管理制度，包括风险管理架构、风险模型指标及量化管理指标、风险缓释措施、头寸平盘机制；</w:t>
            </w:r>
            <w:r>
              <w:rPr>
                <w:rFonts w:ascii="Times New Roman" w:eastAsia="仿宋_GB2312" w:hAnsi="Times New Roman" w:cs="Times New Roman"/>
                <w:sz w:val="24"/>
                <w:szCs w:val="24"/>
              </w:rPr>
              <w:t></w:t>
            </w:r>
          </w:p>
          <w:p w:rsidR="00AD57D5" w:rsidRDefault="004B5CA9">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．会计核算制度，包括科目设置和会计核算方法；</w:t>
            </w:r>
          </w:p>
          <w:p w:rsidR="00AD57D5" w:rsidRDefault="004B5CA9">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．统计报告制度，包括数据采集渠道和操作程序。</w:t>
            </w:r>
          </w:p>
        </w:tc>
        <w:tc>
          <w:tcPr>
            <w:tcW w:w="1064" w:type="dxa"/>
            <w:vAlign w:val="center"/>
          </w:tcPr>
          <w:p w:rsidR="00AD57D5" w:rsidRDefault="004B5CA9">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银行应当根据拟开办各类衍生产品业务的实际特征，提交具有针对性与适用性的文件和资料。</w:t>
            </w:r>
          </w:p>
        </w:tc>
      </w:tr>
      <w:tr w:rsidR="00AD57D5">
        <w:tc>
          <w:tcPr>
            <w:tcW w:w="81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1276"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主管人员和主要交易人员名单、履历。</w:t>
            </w:r>
          </w:p>
        </w:tc>
        <w:tc>
          <w:tcPr>
            <w:tcW w:w="960"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原件</w:t>
            </w:r>
          </w:p>
        </w:tc>
        <w:tc>
          <w:tcPr>
            <w:tcW w:w="45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1"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电子</w:t>
            </w:r>
          </w:p>
        </w:tc>
        <w:tc>
          <w:tcPr>
            <w:tcW w:w="2977" w:type="dxa"/>
            <w:vAlign w:val="center"/>
          </w:tcPr>
          <w:p w:rsidR="00AD57D5" w:rsidRDefault="00AD57D5">
            <w:pPr>
              <w:jc w:val="center"/>
              <w:rPr>
                <w:rFonts w:ascii="Times New Roman" w:eastAsia="仿宋_GB2312" w:hAnsi="Times New Roman" w:cs="Times New Roman"/>
                <w:b/>
                <w:bCs/>
                <w:kern w:val="44"/>
                <w:sz w:val="24"/>
                <w:szCs w:val="24"/>
              </w:rPr>
            </w:pPr>
          </w:p>
        </w:tc>
        <w:tc>
          <w:tcPr>
            <w:tcW w:w="1064" w:type="dxa"/>
            <w:vAlign w:val="center"/>
          </w:tcPr>
          <w:p w:rsidR="00AD57D5" w:rsidRDefault="00AD57D5">
            <w:pPr>
              <w:jc w:val="center"/>
              <w:rPr>
                <w:rFonts w:ascii="Times New Roman" w:eastAsia="仿宋_GB2312" w:hAnsi="Times New Roman" w:cs="Times New Roman"/>
                <w:b/>
                <w:bCs/>
                <w:kern w:val="44"/>
                <w:sz w:val="24"/>
                <w:szCs w:val="24"/>
              </w:rPr>
            </w:pPr>
          </w:p>
        </w:tc>
      </w:tr>
      <w:tr w:rsidR="00AD57D5">
        <w:tc>
          <w:tcPr>
            <w:tcW w:w="81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276"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符合银行业监督管理部门有关金融衍生产品交易业务资格规定的证明文件。</w:t>
            </w:r>
          </w:p>
        </w:tc>
        <w:tc>
          <w:tcPr>
            <w:tcW w:w="960"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加盖</w:t>
            </w:r>
            <w:r>
              <w:rPr>
                <w:rFonts w:ascii="Times New Roman" w:eastAsia="仿宋_GB2312" w:hAnsi="Times New Roman" w:cs="Times New Roman" w:hint="eastAsia"/>
                <w:sz w:val="24"/>
                <w:szCs w:val="24"/>
              </w:rPr>
              <w:t>银行</w:t>
            </w:r>
            <w:r>
              <w:rPr>
                <w:rFonts w:ascii="Times New Roman" w:eastAsia="仿宋_GB2312" w:hAnsi="Times New Roman" w:cs="Times New Roman"/>
                <w:sz w:val="24"/>
                <w:szCs w:val="24"/>
              </w:rPr>
              <w:t>公章的复印件</w:t>
            </w:r>
          </w:p>
        </w:tc>
        <w:tc>
          <w:tcPr>
            <w:tcW w:w="457"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1" w:type="dxa"/>
            <w:vAlign w:val="center"/>
          </w:tcPr>
          <w:p w:rsidR="00AD57D5" w:rsidRDefault="004B5CA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电子</w:t>
            </w:r>
          </w:p>
        </w:tc>
        <w:tc>
          <w:tcPr>
            <w:tcW w:w="2977" w:type="dxa"/>
            <w:vAlign w:val="center"/>
          </w:tcPr>
          <w:p w:rsidR="00AD57D5" w:rsidRDefault="00AD57D5">
            <w:pPr>
              <w:jc w:val="center"/>
              <w:rPr>
                <w:rFonts w:ascii="Times New Roman" w:eastAsia="仿宋_GB2312" w:hAnsi="Times New Roman" w:cs="Times New Roman"/>
                <w:b/>
                <w:bCs/>
                <w:kern w:val="44"/>
                <w:sz w:val="24"/>
                <w:szCs w:val="24"/>
              </w:rPr>
            </w:pPr>
          </w:p>
        </w:tc>
        <w:tc>
          <w:tcPr>
            <w:tcW w:w="1064" w:type="dxa"/>
            <w:vAlign w:val="center"/>
          </w:tcPr>
          <w:p w:rsidR="00AD57D5" w:rsidRDefault="00AD57D5">
            <w:pPr>
              <w:jc w:val="center"/>
              <w:rPr>
                <w:rFonts w:ascii="Times New Roman" w:eastAsia="仿宋_GB2312" w:hAnsi="Times New Roman" w:cs="Times New Roman"/>
                <w:b/>
                <w:bCs/>
                <w:kern w:val="44"/>
                <w:sz w:val="24"/>
                <w:szCs w:val="24"/>
              </w:rPr>
            </w:pPr>
          </w:p>
        </w:tc>
      </w:tr>
    </w:tbl>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（七）申请接受</w:t>
      </w:r>
    </w:p>
    <w:p w:rsidR="00AD57D5" w:rsidRDefault="003407D1">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申请人可通过窗口、邮寄</w:t>
      </w:r>
      <w:r>
        <w:rPr>
          <w:rFonts w:ascii="Times New Roman" w:eastAsia="仿宋_GB2312" w:hAnsi="Times New Roman" w:cs="Times New Roman" w:hint="eastAsia"/>
          <w:sz w:val="30"/>
          <w:szCs w:val="30"/>
        </w:rPr>
        <w:t>、国家外汇管理局政务服务网上办理系统（</w:t>
      </w:r>
      <w:r>
        <w:rPr>
          <w:rFonts w:ascii="Times New Roman" w:eastAsia="仿宋_GB2312" w:hAnsi="Times New Roman" w:cs="Times New Roman" w:hint="eastAsia"/>
          <w:sz w:val="30"/>
          <w:szCs w:val="30"/>
        </w:rPr>
        <w:t>http://zwfw.safe.gov.cn/asone</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等方式提交材料。</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（八）基本办理流程</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申请人提交申请；</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2.</w:t>
      </w:r>
      <w:r>
        <w:rPr>
          <w:rFonts w:ascii="Times New Roman" w:eastAsia="仿宋_GB2312" w:hAnsi="Times New Roman" w:cs="Times New Roman"/>
          <w:sz w:val="30"/>
          <w:szCs w:val="30"/>
        </w:rPr>
        <w:t>决定是否予以受理；</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不予受理的，出具不予受理通知书；受理的，出具受理通知书，进行审查报批；</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不予许可的，出具不予许可通知书。许可的，向申请人出具正式公文或备案通知书。</w:t>
      </w:r>
    </w:p>
    <w:p w:rsidR="00AD57D5" w:rsidRDefault="004B5CA9">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材料不全或不符合法定形式的，一次性告知补正材料，并出具《行政许可补正通知书》。</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（九）办理方式</w:t>
      </w:r>
    </w:p>
    <w:p w:rsidR="00AD57D5" w:rsidRDefault="004B5CA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一般程序：申请、受理、审查、出具正式公文或备案通知书。</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（十）审批时限</w:t>
      </w:r>
    </w:p>
    <w:p w:rsidR="00AD57D5" w:rsidRDefault="004B5CA9">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20</w:t>
      </w:r>
      <w:r>
        <w:rPr>
          <w:rFonts w:ascii="Times New Roman" w:eastAsia="仿宋_GB2312" w:hAnsi="Times New Roman" w:cs="Times New Roman"/>
          <w:sz w:val="30"/>
          <w:szCs w:val="30"/>
        </w:rPr>
        <w:t>个工作日。</w:t>
      </w:r>
    </w:p>
    <w:p w:rsidR="00AD57D5" w:rsidRDefault="004B5CA9">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（十一）审批收费依据及标准</w:t>
      </w:r>
    </w:p>
    <w:p w:rsidR="00AD57D5" w:rsidRDefault="004B5CA9">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不收费。</w:t>
      </w:r>
    </w:p>
    <w:p w:rsidR="00AD57D5" w:rsidRDefault="004B5CA9">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（十二）审批结果</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正式公文或备案通知书。</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（十三）结果送达</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通过现场告知或电话通知申请人，并通过现场领取或邮寄方式将结果送达。</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（十四）申请人权利和义务</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申请人有权依法提出行政审批申请，依法进行投诉、举报、复议、诉讼等。申请人有义务保证申请材料完整、真实、准确，获批后合法合规办理相关业务。</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（十五）事项审查类型</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前审后批</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lastRenderedPageBreak/>
        <w:t>（十六）办公地址和时间</w:t>
      </w:r>
    </w:p>
    <w:p w:rsidR="003E2E47" w:rsidRDefault="003E2E47" w:rsidP="003E2E47">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国家外汇局管理局</w:t>
      </w:r>
      <w:r>
        <w:rPr>
          <w:rFonts w:ascii="Times New Roman" w:eastAsia="仿宋_GB2312" w:hAnsi="Times New Roman" w:cs="Times New Roman" w:hint="eastAsia"/>
          <w:sz w:val="30"/>
          <w:szCs w:val="30"/>
        </w:rPr>
        <w:t>江苏省分局</w:t>
      </w:r>
      <w:r>
        <w:rPr>
          <w:rFonts w:ascii="Times New Roman" w:eastAsia="仿宋_GB2312" w:hAnsi="Times New Roman" w:cs="Times New Roman"/>
          <w:sz w:val="30"/>
          <w:szCs w:val="30"/>
        </w:rPr>
        <w:t>办公地址：</w:t>
      </w:r>
      <w:r w:rsidRPr="00826641">
        <w:rPr>
          <w:rFonts w:ascii="Times New Roman" w:eastAsia="仿宋_GB2312" w:hAnsi="Times New Roman" w:cs="Times New Roman" w:hint="eastAsia"/>
          <w:sz w:val="30"/>
          <w:szCs w:val="30"/>
        </w:rPr>
        <w:t>江苏省南京市秦淮区朝天宫街道建邺路</w:t>
      </w:r>
      <w:r w:rsidRPr="00826641">
        <w:rPr>
          <w:rFonts w:ascii="Times New Roman" w:eastAsia="仿宋_GB2312" w:hAnsi="Times New Roman" w:cs="Times New Roman" w:hint="eastAsia"/>
          <w:sz w:val="30"/>
          <w:szCs w:val="30"/>
        </w:rPr>
        <w:t>88</w:t>
      </w:r>
      <w:r w:rsidRPr="00826641">
        <w:rPr>
          <w:rFonts w:ascii="Times New Roman" w:eastAsia="仿宋_GB2312" w:hAnsi="Times New Roman" w:cs="Times New Roman" w:hint="eastAsia"/>
          <w:sz w:val="30"/>
          <w:szCs w:val="30"/>
        </w:rPr>
        <w:t>号</w:t>
      </w:r>
      <w:bookmarkStart w:id="0" w:name="_GoBack"/>
      <w:bookmarkEnd w:id="0"/>
    </w:p>
    <w:p w:rsidR="00AD57D5" w:rsidRDefault="003E2E47" w:rsidP="003E2E47">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国家外汇局管理局</w:t>
      </w:r>
      <w:r>
        <w:rPr>
          <w:rFonts w:ascii="Times New Roman" w:eastAsia="仿宋_GB2312" w:hAnsi="Times New Roman" w:cs="Times New Roman" w:hint="eastAsia"/>
          <w:sz w:val="30"/>
          <w:szCs w:val="30"/>
        </w:rPr>
        <w:t>江苏省分局</w:t>
      </w:r>
      <w:r>
        <w:rPr>
          <w:rFonts w:ascii="Times New Roman" w:eastAsia="仿宋_GB2312" w:hAnsi="Times New Roman" w:cs="Times New Roman"/>
          <w:sz w:val="30"/>
          <w:szCs w:val="30"/>
        </w:rPr>
        <w:t>办公时间：工作日</w:t>
      </w:r>
      <w:r>
        <w:rPr>
          <w:rFonts w:ascii="Times New Roman" w:eastAsia="仿宋_GB2312" w:hAnsi="Times New Roman" w:cs="Times New Roman"/>
          <w:sz w:val="30"/>
          <w:szCs w:val="30"/>
        </w:rPr>
        <w:t>8:</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0-17:00</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（十七）禁止性要求</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如符合上述条件，不存在不予许可的情况。</w:t>
      </w:r>
    </w:p>
    <w:p w:rsidR="00AD57D5" w:rsidRDefault="004B5CA9">
      <w:pPr>
        <w:adjustRightInd w:val="0"/>
        <w:snapToGrid w:val="0"/>
        <w:spacing w:line="360" w:lineRule="auto"/>
        <w:ind w:firstLine="601"/>
        <w:rPr>
          <w:rFonts w:ascii="Times New Roman" w:eastAsia="黑体" w:hAnsi="Times New Roman" w:cs="Times New Roman"/>
          <w:sz w:val="30"/>
          <w:szCs w:val="30"/>
        </w:rPr>
      </w:pPr>
      <w:r>
        <w:rPr>
          <w:rFonts w:ascii="Times New Roman" w:eastAsia="黑体" w:hAnsi="Times New Roman" w:cs="Times New Roman"/>
          <w:sz w:val="30"/>
          <w:szCs w:val="30"/>
        </w:rPr>
        <w:t>（十八）咨询途径</w:t>
      </w:r>
    </w:p>
    <w:p w:rsidR="00AD57D5" w:rsidRDefault="004B5CA9">
      <w:pPr>
        <w:adjustRightInd w:val="0"/>
        <w:snapToGrid w:val="0"/>
        <w:spacing w:line="360" w:lineRule="auto"/>
        <w:ind w:firstLine="601"/>
        <w:rPr>
          <w:rFonts w:ascii="Times New Roman" w:eastAsia="仿宋_GB2312" w:hAnsi="Times New Roman" w:cs="Times New Roman"/>
          <w:sz w:val="30"/>
          <w:szCs w:val="30"/>
        </w:rPr>
      </w:pPr>
      <w:r>
        <w:rPr>
          <w:rFonts w:ascii="Times New Roman" w:eastAsia="仿宋_GB2312" w:hAnsi="Times New Roman" w:cs="Times New Roman"/>
          <w:sz w:val="30"/>
          <w:szCs w:val="30"/>
        </w:rPr>
        <w:t>电话、网址</w:t>
      </w:r>
      <w:r>
        <w:rPr>
          <w:rFonts w:ascii="Times New Roman" w:eastAsia="仿宋_GB2312" w:hAnsi="Times New Roman" w:cs="Times New Roman" w:hint="eastAsia"/>
          <w:sz w:val="30"/>
          <w:szCs w:val="30"/>
        </w:rPr>
        <w:t>。</w:t>
      </w:r>
    </w:p>
    <w:p w:rsidR="00AD57D5" w:rsidRDefault="004B5CA9">
      <w:pPr>
        <w:adjustRightInd w:val="0"/>
        <w:snapToGrid w:val="0"/>
        <w:spacing w:line="360" w:lineRule="auto"/>
        <w:ind w:firstLine="601"/>
        <w:rPr>
          <w:rFonts w:ascii="Times New Roman" w:eastAsia="黑体" w:hAnsi="Times New Roman" w:cs="Times New Roman"/>
          <w:sz w:val="30"/>
          <w:szCs w:val="30"/>
        </w:rPr>
      </w:pPr>
      <w:r>
        <w:rPr>
          <w:rFonts w:ascii="Times New Roman" w:eastAsia="黑体" w:hAnsi="Times New Roman" w:cs="Times New Roman"/>
          <w:sz w:val="30"/>
          <w:szCs w:val="30"/>
        </w:rPr>
        <w:t>（十九）办理进程和结果公开查询</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向国家外汇管理局</w:t>
      </w:r>
      <w:r>
        <w:rPr>
          <w:rFonts w:ascii="Times New Roman" w:eastAsia="仿宋_GB2312" w:hAnsi="Times New Roman" w:cs="Times New Roman" w:hint="eastAsia"/>
          <w:sz w:val="30"/>
          <w:szCs w:val="30"/>
        </w:rPr>
        <w:t>江苏省分局</w:t>
      </w:r>
      <w:r>
        <w:rPr>
          <w:rFonts w:ascii="Times New Roman" w:eastAsia="仿宋_GB2312" w:hAnsi="Times New Roman" w:cs="Times New Roman"/>
          <w:sz w:val="30"/>
          <w:szCs w:val="30"/>
        </w:rPr>
        <w:t>咨询、</w:t>
      </w:r>
      <w:r>
        <w:rPr>
          <w:rFonts w:ascii="Times New Roman" w:eastAsia="仿宋_GB2312" w:hAnsi="Times New Roman" w:cs="Times New Roman" w:hint="eastAsia"/>
          <w:sz w:val="30"/>
          <w:szCs w:val="30"/>
        </w:rPr>
        <w:t>进度查询</w:t>
      </w:r>
      <w:r>
        <w:rPr>
          <w:rFonts w:ascii="Times New Roman" w:eastAsia="仿宋_GB2312" w:hAnsi="Times New Roman" w:cs="Times New Roman"/>
          <w:sz w:val="30"/>
          <w:szCs w:val="30"/>
        </w:rPr>
        <w:t>可通过</w:t>
      </w:r>
      <w:r>
        <w:rPr>
          <w:rFonts w:ascii="Times New Roman" w:eastAsia="仿宋_GB2312" w:hAnsi="Times New Roman" w:cs="Times New Roman" w:hint="eastAsia"/>
          <w:sz w:val="30"/>
          <w:szCs w:val="30"/>
        </w:rPr>
        <w:t>电话、</w:t>
      </w:r>
      <w:r>
        <w:rPr>
          <w:rFonts w:ascii="Times New Roman" w:eastAsia="仿宋_GB2312" w:hAnsi="Times New Roman" w:cs="Times New Roman"/>
          <w:sz w:val="30"/>
          <w:szCs w:val="30"/>
        </w:rPr>
        <w:t>国家外汇管理局</w:t>
      </w:r>
      <w:r>
        <w:rPr>
          <w:rFonts w:ascii="Times New Roman" w:eastAsia="仿宋_GB2312" w:hAnsi="Times New Roman" w:cs="Times New Roman" w:hint="eastAsia"/>
          <w:sz w:val="30"/>
          <w:szCs w:val="30"/>
        </w:rPr>
        <w:t>江苏省分局</w:t>
      </w:r>
      <w:r>
        <w:rPr>
          <w:rFonts w:ascii="Times New Roman" w:eastAsia="仿宋_GB2312" w:hAnsi="Times New Roman" w:cs="Times New Roman"/>
          <w:sz w:val="30"/>
          <w:szCs w:val="30"/>
        </w:rPr>
        <w:t>官方互联网站的相应栏目进行。</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电话：</w:t>
      </w:r>
      <w:r>
        <w:rPr>
          <w:rFonts w:ascii="Times New Roman" w:eastAsia="仿宋_GB2312" w:hAnsi="Times New Roman" w:cs="Times New Roman" w:hint="eastAsia"/>
          <w:sz w:val="30"/>
          <w:szCs w:val="30"/>
        </w:rPr>
        <w:t>025-84790218</w:t>
      </w:r>
    </w:p>
    <w:p w:rsidR="00AD57D5" w:rsidRDefault="004B5CA9">
      <w:pPr>
        <w:adjustRightInd w:val="0"/>
        <w:snapToGrid w:val="0"/>
        <w:spacing w:line="360" w:lineRule="auto"/>
        <w:ind w:firstLine="601"/>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网址：</w:t>
      </w:r>
      <w:r>
        <w:rPr>
          <w:rFonts w:ascii="Times New Roman" w:eastAsia="仿宋_GB2312" w:hAnsi="Times New Roman" w:cs="Times New Roman"/>
          <w:sz w:val="30"/>
          <w:szCs w:val="30"/>
        </w:rPr>
        <w:t>国家</w:t>
      </w:r>
      <w:r>
        <w:rPr>
          <w:rFonts w:ascii="Times New Roman" w:eastAsia="仿宋_GB2312" w:hAnsi="Times New Roman" w:cs="Times New Roman"/>
          <w:sz w:val="30"/>
          <w:szCs w:val="30"/>
          <w:lang w:val="zh-CN" w:bidi="zh-CN"/>
        </w:rPr>
        <w:t>外汇管理局官方互联网站</w:t>
      </w:r>
      <w:hyperlink r:id="rId9" w:history="1">
        <w:r w:rsidRPr="003407D1">
          <w:rPr>
            <w:rFonts w:ascii="Times New Roman" w:eastAsia="仿宋_GB2312" w:hAnsi="Times New Roman" w:cs="Times New Roman"/>
            <w:sz w:val="30"/>
            <w:szCs w:val="30"/>
            <w:lang w:bidi="zh-CN"/>
          </w:rPr>
          <w:t>www.safe.gov.cn</w:t>
        </w:r>
      </w:hyperlink>
      <w:r>
        <w:rPr>
          <w:rFonts w:ascii="Times New Roman" w:eastAsia="仿宋_GB2312" w:hAnsi="Times New Roman" w:cs="Times New Roman" w:hint="eastAsia"/>
          <w:sz w:val="30"/>
          <w:szCs w:val="30"/>
          <w:lang w:val="zh-CN" w:bidi="zh-CN"/>
        </w:rPr>
        <w:t>链接至江苏省分局</w:t>
      </w:r>
    </w:p>
    <w:p w:rsidR="00AD57D5" w:rsidRDefault="004B5CA9">
      <w:pPr>
        <w:adjustRightInd w:val="0"/>
        <w:snapToGrid w:val="0"/>
        <w:spacing w:line="360" w:lineRule="auto"/>
        <w:ind w:firstLine="601"/>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通过国家外汇管理局政务服务网上办理系统提交申请的，可在该系统内进行查询。</w:t>
      </w:r>
    </w:p>
    <w:p w:rsidR="00AD57D5" w:rsidRDefault="004B5CA9">
      <w:pPr>
        <w:adjustRightInd w:val="0"/>
        <w:snapToGrid w:val="0"/>
        <w:spacing w:line="360" w:lineRule="auto"/>
        <w:ind w:firstLine="601"/>
        <w:rPr>
          <w:rFonts w:ascii="Times New Roman" w:eastAsia="黑体" w:hAnsi="Times New Roman" w:cs="Times New Roman"/>
          <w:sz w:val="30"/>
          <w:szCs w:val="30"/>
        </w:rPr>
      </w:pPr>
      <w:r>
        <w:rPr>
          <w:rFonts w:ascii="Times New Roman" w:eastAsia="黑体" w:hAnsi="Times New Roman" w:cs="Times New Roman"/>
          <w:sz w:val="30"/>
          <w:szCs w:val="30"/>
        </w:rPr>
        <w:t>（二十）监督投诉渠道</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向国家外汇管理局</w:t>
      </w:r>
      <w:r>
        <w:rPr>
          <w:rFonts w:ascii="Times New Roman" w:eastAsia="仿宋_GB2312" w:hAnsi="Times New Roman" w:cs="Times New Roman" w:hint="eastAsia"/>
          <w:sz w:val="30"/>
          <w:szCs w:val="30"/>
        </w:rPr>
        <w:t>江苏省分局</w:t>
      </w:r>
      <w:r>
        <w:rPr>
          <w:rFonts w:ascii="Times New Roman" w:eastAsia="仿宋_GB2312" w:hAnsi="Times New Roman" w:cs="Times New Roman"/>
          <w:sz w:val="30"/>
          <w:szCs w:val="30"/>
        </w:rPr>
        <w:t>监督</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投诉等可通过</w:t>
      </w:r>
      <w:r>
        <w:rPr>
          <w:rFonts w:ascii="Times New Roman" w:eastAsia="仿宋_GB2312" w:hAnsi="Times New Roman" w:cs="Times New Roman" w:hint="eastAsia"/>
          <w:sz w:val="30"/>
          <w:szCs w:val="30"/>
        </w:rPr>
        <w:t>电话、</w:t>
      </w:r>
      <w:r>
        <w:rPr>
          <w:rFonts w:ascii="Times New Roman" w:eastAsia="仿宋_GB2312" w:hAnsi="Times New Roman" w:cs="Times New Roman"/>
          <w:sz w:val="30"/>
          <w:szCs w:val="30"/>
        </w:rPr>
        <w:t>国家外汇管理局</w:t>
      </w:r>
      <w:r>
        <w:rPr>
          <w:rFonts w:ascii="Times New Roman" w:eastAsia="仿宋_GB2312" w:hAnsi="Times New Roman" w:cs="Times New Roman" w:hint="eastAsia"/>
          <w:sz w:val="30"/>
          <w:szCs w:val="30"/>
        </w:rPr>
        <w:t>江苏省分局</w:t>
      </w:r>
      <w:r>
        <w:rPr>
          <w:rFonts w:ascii="Times New Roman" w:eastAsia="仿宋_GB2312" w:hAnsi="Times New Roman" w:cs="Times New Roman"/>
          <w:sz w:val="30"/>
          <w:szCs w:val="30"/>
        </w:rPr>
        <w:t>官方互联网站的相应栏目进行。</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电话：</w:t>
      </w:r>
      <w:r>
        <w:rPr>
          <w:rFonts w:ascii="Times New Roman" w:eastAsia="仿宋_GB2312" w:hAnsi="Times New Roman" w:cs="Times New Roman" w:hint="eastAsia"/>
          <w:sz w:val="30"/>
          <w:szCs w:val="30"/>
        </w:rPr>
        <w:t>025-84790472</w:t>
      </w:r>
    </w:p>
    <w:p w:rsidR="00AD57D5" w:rsidRDefault="004B5CA9">
      <w:pPr>
        <w:adjustRightInd w:val="0"/>
        <w:snapToGrid w:val="0"/>
        <w:spacing w:line="360" w:lineRule="auto"/>
        <w:ind w:firstLine="601"/>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网址：</w:t>
      </w:r>
      <w:r>
        <w:rPr>
          <w:rFonts w:ascii="Times New Roman" w:eastAsia="仿宋_GB2312" w:hAnsi="Times New Roman" w:cs="Times New Roman"/>
          <w:sz w:val="30"/>
          <w:szCs w:val="30"/>
        </w:rPr>
        <w:t>国家</w:t>
      </w:r>
      <w:r>
        <w:rPr>
          <w:rFonts w:ascii="Times New Roman" w:eastAsia="仿宋_GB2312" w:hAnsi="Times New Roman" w:cs="Times New Roman"/>
          <w:sz w:val="30"/>
          <w:szCs w:val="30"/>
          <w:lang w:val="zh-CN" w:bidi="zh-CN"/>
        </w:rPr>
        <w:t>外汇管理局官方互联网站</w:t>
      </w:r>
      <w:hyperlink r:id="rId10" w:history="1">
        <w:r w:rsidRPr="003407D1">
          <w:rPr>
            <w:rFonts w:ascii="Times New Roman" w:eastAsia="仿宋_GB2312" w:hAnsi="Times New Roman" w:cs="Times New Roman"/>
            <w:sz w:val="30"/>
            <w:szCs w:val="30"/>
            <w:lang w:bidi="zh-CN"/>
          </w:rPr>
          <w:t>www.safe.gov.cn</w:t>
        </w:r>
      </w:hyperlink>
      <w:r>
        <w:rPr>
          <w:rFonts w:ascii="Times New Roman" w:eastAsia="仿宋_GB2312" w:hAnsi="Times New Roman" w:cs="Times New Roman" w:hint="eastAsia"/>
          <w:sz w:val="30"/>
          <w:szCs w:val="30"/>
          <w:lang w:val="zh-CN" w:bidi="zh-CN"/>
        </w:rPr>
        <w:t>链接至江苏省分局</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（二十一）申请材料示范文本</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无固定格式。有关内容要求详见（六）申请材料。</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lastRenderedPageBreak/>
        <w:t>（二十二）常见问题解答</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审批时限在</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个工作日以内。但办理过程中所需的现场验收等，不计入时限。</w:t>
      </w:r>
    </w:p>
    <w:p w:rsidR="00AD57D5" w:rsidRDefault="004B5CA9">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（二十三）常见错误示例</w:t>
      </w:r>
    </w:p>
    <w:p w:rsidR="00AD57D5" w:rsidRDefault="004B5CA9">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申请材料不完全符合规定，例如符合银行业监督管理部门有关金融衍生产品交易业务资格规定的证明文件未加盖</w:t>
      </w:r>
      <w:r>
        <w:rPr>
          <w:rFonts w:ascii="Times New Roman" w:eastAsia="仿宋_GB2312" w:hAnsi="Times New Roman" w:cs="Times New Roman" w:hint="eastAsia"/>
          <w:sz w:val="30"/>
          <w:szCs w:val="30"/>
        </w:rPr>
        <w:t>银行</w:t>
      </w:r>
      <w:r>
        <w:rPr>
          <w:rFonts w:ascii="Times New Roman" w:eastAsia="仿宋_GB2312" w:hAnsi="Times New Roman" w:cs="Times New Roman"/>
          <w:sz w:val="30"/>
          <w:szCs w:val="30"/>
        </w:rPr>
        <w:t>公章等。</w:t>
      </w:r>
    </w:p>
    <w:p w:rsidR="00AD57D5" w:rsidRDefault="00AD57D5">
      <w:pPr>
        <w:ind w:right="300" w:firstLine="600"/>
        <w:rPr>
          <w:rFonts w:ascii="Times New Roman" w:eastAsia="黑体" w:hAnsi="Times New Roman" w:cs="Times New Roman"/>
          <w:sz w:val="30"/>
          <w:szCs w:val="30"/>
        </w:rPr>
      </w:pPr>
    </w:p>
    <w:p w:rsidR="00AD57D5" w:rsidRDefault="00AD57D5">
      <w:pPr>
        <w:ind w:right="300" w:firstLine="600"/>
        <w:rPr>
          <w:rFonts w:ascii="Times New Roman" w:eastAsia="仿宋_GB2312" w:hAnsi="Times New Roman" w:cs="Times New Roman"/>
          <w:sz w:val="30"/>
          <w:szCs w:val="30"/>
        </w:rPr>
        <w:sectPr w:rsidR="00AD57D5">
          <w:footerReference w:type="default" r:id="rId11"/>
          <w:pgSz w:w="11906" w:h="16838"/>
          <w:pgMar w:top="1440" w:right="1800" w:bottom="1440" w:left="1800" w:header="851" w:footer="992" w:gutter="0"/>
          <w:cols w:space="720"/>
          <w:docGrid w:type="lines" w:linePitch="312"/>
        </w:sectPr>
      </w:pPr>
    </w:p>
    <w:p w:rsidR="00AD57D5" w:rsidRDefault="004B5CA9">
      <w:pPr>
        <w:ind w:right="3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附录</w:t>
      </w:r>
    </w:p>
    <w:p w:rsidR="00AD57D5" w:rsidRDefault="004B5CA9">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t>基本流程图</w:t>
      </w:r>
    </w:p>
    <w:p w:rsidR="00AD57D5" w:rsidRDefault="004B5CA9">
      <w:pPr>
        <w:ind w:right="300"/>
        <w:jc w:val="center"/>
        <w:rPr>
          <w:rFonts w:ascii="Times New Roman" w:hAnsi="Times New Roman" w:cs="Times New Roman"/>
        </w:rPr>
      </w:pPr>
      <w:r>
        <w:rPr>
          <w:rFonts w:ascii="Times New Roman" w:hAnsi="Times New Roman" w:cs="Times New Roman"/>
        </w:rPr>
        <w:pict>
          <v:group id="Group 423" o:spid="_x0000_s1027" style="position:absolute;left:0;text-align:left;margin-left:-39.65pt;margin-top:29.1pt;width:459.7pt;height:421.5pt;z-index:251658240" coordorigin="1007,3270" coordsize="9194,8430">
            <v:shapetype id="_x0000_t32" coordsize="21600,21600" o:spt="32" o:oned="t" path="m,l21600,21600e" filled="f">
              <v:path arrowok="t" fillok="f" o:connecttype="none"/>
              <o:lock v:ext="edit" shapetype="t"/>
            </v:shapetype>
            <v:shape id="Straight Connector 424" o:spid="_x0000_s1028" type="#_x0000_t32" style="position:absolute;left:2612;top:4693;width:17;height:1468" o:connectortype="straight" o:preferrelative="t">
              <v:stroke endarrow="block" miterlimit="2"/>
            </v:shape>
            <v:shape id="Straight Connector 425" o:spid="_x0000_s1029" type="#_x0000_t32" style="position:absolute;left:3667;top:5789;width:1172;height:0" o:connectortype="straight" o:preferrelative="t">
              <v:stroke endarrow="block" miterlimit="2"/>
            </v:shape>
            <v:shape id="Straight Connector 426" o:spid="_x0000_s1030" type="#_x0000_t32" style="position:absolute;left:3667;top:6593;width:1172;height:0" o:connectortype="straight" o:preferrelative="t">
              <v:stroke endarrow="block" miterlimit="2"/>
            </v:shape>
            <v:shape id="Straight Connector 427" o:spid="_x0000_s1031" type="#_x0000_t32" style="position:absolute;left:8191;top:4642;width:1;height:895;flip:y" o:connectortype="straight" o:preferrelative="t">
              <v:stroke endarrow="block" miterlimit="2"/>
            </v:shape>
            <v:shape id="Straight Connector 428" o:spid="_x0000_s1032" type="#_x0000_t32" style="position:absolute;left:2629;top:4981;width:4643;height:1;flip:x" o:connectortype="straight" o:preferrelative="t">
              <v:stroke endarrow="block" miterlimit="2"/>
            </v:shape>
            <v:shape id="Straight Connector 429" o:spid="_x0000_s1033" type="#_x0000_t32" style="position:absolute;left:5392;top:8652;width:0;height:437" o:connectortype="straight" o:preferrelative="t">
              <v:stroke endarrow="block" miterlimit="2"/>
            </v:shape>
            <v:shape id="Straight Connector 430" o:spid="_x0000_s1034" type="#_x0000_t32" style="position:absolute;left:6547;top:9623;width:17;height:905" o:connectortype="straight" o:preferrelative="t">
              <v:stroke endarrow="block" miterlimit="2"/>
            </v:shape>
            <v:shape id="Straight Connector 431" o:spid="_x0000_s1035" type="#_x0000_t32" style="position:absolute;left:4432;top:9623;width:1;height:905" o:connectortype="straight" o:preferrelative="t">
              <v:stroke endarrow="block" miterlimit="2"/>
            </v:shape>
            <v:shape id="Straight Connector 432" o:spid="_x0000_s1036" type="#_x0000_t32" style="position:absolute;left:2612;top:6826;width:0;height:1391" o:connectortype="straight" o:preferrelative="t">
              <v:stroke miterlimit="2"/>
            </v:shape>
            <v:shape id="Straight Connector 433" o:spid="_x0000_s1037" type="#_x0000_t32" style="position:absolute;left:2612;top:8217;width:822;height:0" o:connectortype="straight" o:preferrelative="t">
              <v:stroke endarrow="block" miterlimit="2"/>
            </v:shape>
            <v:shapetype id="_x0000_t110" coordsize="21600,21600" o:spt="110" path="m10800,l,10800,10800,21600,21600,10800xe">
              <v:stroke joinstyle="miter"/>
              <v:path gradientshapeok="t" o:connecttype="rect" textboxrect="5400,5400,16200,16200"/>
            </v:shapetype>
            <v:shape id="Flowchart: Decision 434" o:spid="_x0000_s1038" type="#_x0000_t110" style="position:absolute;left:1007;top:5267;width:3274;height:1889" o:preferrelative="t">
              <v:stroke miterlimit="2"/>
              <v:textbox>
                <w:txbxContent>
                  <w:p w:rsidR="00AD57D5" w:rsidRDefault="004B5CA9">
                    <w:r>
                      <w:rPr>
                        <w:rFonts w:hint="eastAsia"/>
                      </w:rPr>
                      <w:t>接件并当场（或</w:t>
                    </w:r>
                    <w:r>
                      <w:rPr>
                        <w:rFonts w:hint="eastAsia"/>
                      </w:rPr>
                      <w:t>5</w:t>
                    </w:r>
                    <w:r>
                      <w:rPr>
                        <w:rFonts w:hint="eastAsia"/>
                      </w:rPr>
                      <w:t>个工作日）作出是否受理决定</w:t>
                    </w:r>
                  </w:p>
                  <w:p w:rsidR="00AD57D5" w:rsidRDefault="00AD57D5"/>
                </w:txbxContent>
              </v:textbox>
            </v:shape>
            <v:rect id="Rectangle 435" o:spid="_x0000_s1039" style="position:absolute;left:7272;top:4470;width:2094;height:796" o:preferrelative="t">
              <v:stroke miterlimit="2"/>
              <v:textbox>
                <w:txbxContent>
                  <w:p w:rsidR="00AD57D5" w:rsidRDefault="004B5CA9">
                    <w:pPr>
                      <w:jc w:val="center"/>
                    </w:pPr>
                    <w:r>
                      <w:rPr>
                        <w:rFonts w:hint="eastAsia"/>
                      </w:rPr>
                      <w:t>申请人补全材料</w:t>
                    </w:r>
                  </w:p>
                  <w:p w:rsidR="00AD57D5" w:rsidRDefault="00AD57D5"/>
                </w:txbxContent>
              </v:textbox>
            </v:rect>
            <v:rect id="Rectangle 436" o:spid="_x0000_s1040" style="position:absolute;left:4839;top:5537;width:5362;height:500" o:preferrelative="t">
              <v:stroke miterlimit="2"/>
              <v:textbox>
                <w:txbxContent>
                  <w:p w:rsidR="00AD57D5" w:rsidRDefault="004B5CA9">
                    <w:r>
                      <w:rPr>
                        <w:rFonts w:hint="eastAsia"/>
                      </w:rPr>
                      <w:t>材料不全或不符合法定形式的，一次性告知补正材料</w:t>
                    </w:r>
                  </w:p>
                  <w:p w:rsidR="00AD57D5" w:rsidRDefault="00AD57D5"/>
                </w:txbxContent>
              </v:textbox>
            </v:rect>
            <v:rect id="Rectangle 437" o:spid="_x0000_s1041" style="position:absolute;left:4839;top:6389;width:5362;height:906" o:preferrelative="t">
              <v:stroke miterlimit="2"/>
              <v:textbox>
                <w:txbxContent>
                  <w:p w:rsidR="00AD57D5" w:rsidRDefault="004B5CA9">
                    <w:r>
                      <w:rPr>
                        <w:rFonts w:hint="eastAsia"/>
                      </w:rPr>
                      <w:t>依法不予受理的，作出不予受理决定，出具不予受理通知书</w:t>
                    </w:r>
                  </w:p>
                  <w:p w:rsidR="00AD57D5" w:rsidRDefault="00AD57D5"/>
                </w:txbxContent>
              </v:textbox>
            </v:rect>
            <v:rect id="Rectangle 438" o:spid="_x0000_s1042" style="position:absolute;left:3433;top:8049;width:4104;height:603" o:preferrelative="t">
              <v:stroke miterlimit="2"/>
              <v:textbox>
                <w:txbxContent>
                  <w:p w:rsidR="00AD57D5" w:rsidRDefault="004B5CA9">
                    <w:pPr>
                      <w:jc w:val="center"/>
                    </w:pPr>
                    <w:r>
                      <w:rPr>
                        <w:rFonts w:hint="eastAsia"/>
                      </w:rPr>
                      <w:t>依法应予受理，出具受理单</w:t>
                    </w:r>
                  </w:p>
                  <w:p w:rsidR="00AD57D5" w:rsidRDefault="00AD57D5"/>
                </w:txbxContent>
              </v:textbox>
            </v:rect>
            <v:rect id="Rectangle 439" o:spid="_x0000_s1043" style="position:absolute;left:3434;top:9089;width:4252;height:534" o:preferrelative="t">
              <v:stroke miterlimit="2"/>
              <v:textbox>
                <w:txbxContent>
                  <w:p w:rsidR="00AD57D5" w:rsidRDefault="004B5CA9">
                    <w:pPr>
                      <w:jc w:val="center"/>
                    </w:pPr>
                    <w:r>
                      <w:rPr>
                        <w:rFonts w:hint="eastAsia"/>
                      </w:rPr>
                      <w:t>审查报批</w:t>
                    </w:r>
                  </w:p>
                  <w:p w:rsidR="00AD57D5" w:rsidRDefault="00AD57D5"/>
                </w:txbxContent>
              </v:textbox>
            </v:rect>
            <v:rect id="Rectangle 440" o:spid="_x0000_s1044" style="position:absolute;left:1771;top:3270;width:2894;height:1423" o:preferrelative="t">
              <v:stroke miterlimit="2"/>
              <v:textbox>
                <w:txbxContent>
                  <w:p w:rsidR="00AD57D5" w:rsidRDefault="004B5CA9">
                    <w:pPr>
                      <w:spacing w:before="34"/>
                      <w:rPr>
                        <w:rFonts w:ascii="宋体" w:hAnsi="宋体" w:cs="宋体"/>
                        <w:szCs w:val="21"/>
                      </w:rPr>
                    </w:pPr>
                    <w:r>
                      <w:rPr>
                        <w:rFonts w:ascii="宋体" w:hAnsi="宋体" w:cs="宋体" w:hint="eastAsia"/>
                        <w:szCs w:val="21"/>
                      </w:rPr>
                      <w:t>申请人以现场、邮寄、国家外汇管理局政务服务网上办理系统等提交材料提出书面申请，并提交材料</w:t>
                    </w:r>
                  </w:p>
                  <w:p w:rsidR="00AD57D5" w:rsidRDefault="00AD57D5"/>
                </w:txbxContent>
              </v:textbox>
            </v:rect>
            <v:rect id="Rectangle 441" o:spid="_x0000_s1045" style="position:absolute;left:3433;top:10528;width:1747;height:1172" o:preferrelative="t">
              <v:stroke miterlimit="2"/>
              <v:textbox>
                <w:txbxContent>
                  <w:p w:rsidR="00AD57D5" w:rsidRDefault="004B5CA9">
                    <w:r>
                      <w:rPr>
                        <w:rFonts w:hint="eastAsia"/>
                      </w:rPr>
                      <w:t>予以许可，向申请人出具正式公文或备案表</w:t>
                    </w:r>
                  </w:p>
                  <w:p w:rsidR="00AD57D5" w:rsidRDefault="00AD57D5"/>
                </w:txbxContent>
              </v:textbox>
            </v:rect>
            <v:rect id="Rectangle 442" o:spid="_x0000_s1046" style="position:absolute;left:5790;top:10528;width:1747;height:1172" o:preferrelative="t">
              <v:stroke miterlimit="2"/>
              <v:textbox>
                <w:txbxContent>
                  <w:p w:rsidR="00AD57D5" w:rsidRDefault="004B5CA9">
                    <w:r>
                      <w:rPr>
                        <w:rFonts w:hint="eastAsia"/>
                      </w:rPr>
                      <w:t>依法作出不予许可决定，并送达</w:t>
                    </w:r>
                  </w:p>
                  <w:p w:rsidR="00AD57D5" w:rsidRDefault="00AD57D5"/>
                </w:txbxContent>
              </v:textbox>
            </v:rect>
          </v:group>
        </w:pict>
      </w:r>
    </w:p>
    <w:sectPr w:rsidR="00AD57D5">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A9" w:rsidRDefault="004B5CA9">
      <w:r>
        <w:separator/>
      </w:r>
    </w:p>
  </w:endnote>
  <w:endnote w:type="continuationSeparator" w:id="0">
    <w:p w:rsidR="004B5CA9" w:rsidRDefault="004B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ˎ̥">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D5" w:rsidRDefault="004B5CA9">
    <w:pPr>
      <w:pStyle w:val="a7"/>
      <w:jc w:val="center"/>
    </w:pPr>
    <w:r>
      <w:fldChar w:fldCharType="begin"/>
    </w:r>
    <w:r>
      <w:instrText xml:space="preserve"> PAGE   \* MERGEFORMAT </w:instrText>
    </w:r>
    <w:r>
      <w:fldChar w:fldCharType="separate"/>
    </w:r>
    <w:r w:rsidR="003407D1" w:rsidRPr="003407D1">
      <w:rPr>
        <w:noProof/>
        <w:lang w:val="zh-CN"/>
      </w:rPr>
      <w:t>1</w:t>
    </w:r>
    <w:r>
      <w:rPr>
        <w:lang w:val="zh-CN"/>
      </w:rPr>
      <w:fldChar w:fldCharType="end"/>
    </w:r>
  </w:p>
  <w:p w:rsidR="00AD57D5" w:rsidRDefault="00AD57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D5" w:rsidRDefault="004B5CA9">
    <w:pPr>
      <w:pStyle w:val="a7"/>
      <w:jc w:val="center"/>
    </w:pPr>
    <w:r>
      <w:fldChar w:fldCharType="begin"/>
    </w:r>
    <w:r>
      <w:instrText xml:space="preserve"> PAGE   \* MERGEFORMAT </w:instrText>
    </w:r>
    <w:r>
      <w:fldChar w:fldCharType="separate"/>
    </w:r>
    <w:r w:rsidR="00441A2C" w:rsidRPr="00441A2C">
      <w:rPr>
        <w:noProof/>
        <w:lang w:val="zh-CN"/>
      </w:rPr>
      <w:t>7</w:t>
    </w:r>
    <w:r>
      <w:rPr>
        <w:lang w:val="zh-CN"/>
      </w:rPr>
      <w:fldChar w:fldCharType="end"/>
    </w:r>
  </w:p>
  <w:p w:rsidR="00AD57D5" w:rsidRDefault="00AD57D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D5" w:rsidRDefault="004B5CA9">
    <w:pPr>
      <w:pStyle w:val="a7"/>
      <w:jc w:val="center"/>
    </w:pPr>
    <w:r>
      <w:fldChar w:fldCharType="begin"/>
    </w:r>
    <w:r>
      <w:instrText>PAGE   \* MERGEFORMAT</w:instrText>
    </w:r>
    <w:r>
      <w:fldChar w:fldCharType="separate"/>
    </w:r>
    <w:r w:rsidR="003407D1" w:rsidRPr="003407D1">
      <w:rPr>
        <w:noProof/>
        <w:lang w:val="zh-CN"/>
      </w:rPr>
      <w:t>8</w:t>
    </w:r>
    <w:r>
      <w:fldChar w:fldCharType="end"/>
    </w:r>
  </w:p>
  <w:p w:rsidR="00AD57D5" w:rsidRDefault="00AD57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A9" w:rsidRDefault="004B5CA9">
      <w:r>
        <w:separator/>
      </w:r>
    </w:p>
  </w:footnote>
  <w:footnote w:type="continuationSeparator" w:id="0">
    <w:p w:rsidR="004B5CA9" w:rsidRDefault="004B5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B131E"/>
    <w:rsid w:val="00003372"/>
    <w:rsid w:val="00022191"/>
    <w:rsid w:val="00023783"/>
    <w:rsid w:val="00041960"/>
    <w:rsid w:val="00042B58"/>
    <w:rsid w:val="00053278"/>
    <w:rsid w:val="00054B00"/>
    <w:rsid w:val="00055270"/>
    <w:rsid w:val="00057F76"/>
    <w:rsid w:val="0006560A"/>
    <w:rsid w:val="00072F8A"/>
    <w:rsid w:val="000750C8"/>
    <w:rsid w:val="00080630"/>
    <w:rsid w:val="00084C01"/>
    <w:rsid w:val="00091661"/>
    <w:rsid w:val="00092D53"/>
    <w:rsid w:val="00096CBB"/>
    <w:rsid w:val="00097F7B"/>
    <w:rsid w:val="000A63A6"/>
    <w:rsid w:val="000B6901"/>
    <w:rsid w:val="000B728B"/>
    <w:rsid w:val="000C15B3"/>
    <w:rsid w:val="000C2B33"/>
    <w:rsid w:val="000C6C10"/>
    <w:rsid w:val="000D1995"/>
    <w:rsid w:val="000D7478"/>
    <w:rsid w:val="000E4F85"/>
    <w:rsid w:val="0012271F"/>
    <w:rsid w:val="00127A16"/>
    <w:rsid w:val="00130519"/>
    <w:rsid w:val="00135BEE"/>
    <w:rsid w:val="0014667A"/>
    <w:rsid w:val="00154B58"/>
    <w:rsid w:val="00157C64"/>
    <w:rsid w:val="00157E81"/>
    <w:rsid w:val="00170126"/>
    <w:rsid w:val="00177059"/>
    <w:rsid w:val="00181D3E"/>
    <w:rsid w:val="0018376C"/>
    <w:rsid w:val="00193175"/>
    <w:rsid w:val="00196FAE"/>
    <w:rsid w:val="001A3E49"/>
    <w:rsid w:val="001A72AA"/>
    <w:rsid w:val="001B1E2C"/>
    <w:rsid w:val="001C44C7"/>
    <w:rsid w:val="001D65A2"/>
    <w:rsid w:val="001E1407"/>
    <w:rsid w:val="001F4BD4"/>
    <w:rsid w:val="001F6AF6"/>
    <w:rsid w:val="001F7297"/>
    <w:rsid w:val="00205D07"/>
    <w:rsid w:val="00212F39"/>
    <w:rsid w:val="00217116"/>
    <w:rsid w:val="00231EED"/>
    <w:rsid w:val="00233841"/>
    <w:rsid w:val="00235F24"/>
    <w:rsid w:val="002417D2"/>
    <w:rsid w:val="00241FE8"/>
    <w:rsid w:val="0024527E"/>
    <w:rsid w:val="00253F7B"/>
    <w:rsid w:val="00263773"/>
    <w:rsid w:val="00263B1F"/>
    <w:rsid w:val="00272DF7"/>
    <w:rsid w:val="00291C17"/>
    <w:rsid w:val="0029313A"/>
    <w:rsid w:val="002B0B1C"/>
    <w:rsid w:val="002B598D"/>
    <w:rsid w:val="002B61C1"/>
    <w:rsid w:val="002C3539"/>
    <w:rsid w:val="002C3A40"/>
    <w:rsid w:val="002D2A8C"/>
    <w:rsid w:val="002D4121"/>
    <w:rsid w:val="002E1323"/>
    <w:rsid w:val="002E6E2B"/>
    <w:rsid w:val="002F3868"/>
    <w:rsid w:val="00302119"/>
    <w:rsid w:val="00302E87"/>
    <w:rsid w:val="00310261"/>
    <w:rsid w:val="00325D3D"/>
    <w:rsid w:val="003407D1"/>
    <w:rsid w:val="00343044"/>
    <w:rsid w:val="00344107"/>
    <w:rsid w:val="00344B01"/>
    <w:rsid w:val="00353AC4"/>
    <w:rsid w:val="00356BC8"/>
    <w:rsid w:val="003616B4"/>
    <w:rsid w:val="003642BD"/>
    <w:rsid w:val="003A57B2"/>
    <w:rsid w:val="003C7132"/>
    <w:rsid w:val="003D77A5"/>
    <w:rsid w:val="003E2E47"/>
    <w:rsid w:val="003E6BF6"/>
    <w:rsid w:val="003F221D"/>
    <w:rsid w:val="003F3097"/>
    <w:rsid w:val="00402AE8"/>
    <w:rsid w:val="00405FE6"/>
    <w:rsid w:val="004105BC"/>
    <w:rsid w:val="00421C27"/>
    <w:rsid w:val="00440A1F"/>
    <w:rsid w:val="00441A2C"/>
    <w:rsid w:val="00443603"/>
    <w:rsid w:val="00443604"/>
    <w:rsid w:val="004501EA"/>
    <w:rsid w:val="00450FD3"/>
    <w:rsid w:val="00460458"/>
    <w:rsid w:val="0046792D"/>
    <w:rsid w:val="004767DF"/>
    <w:rsid w:val="00493CCC"/>
    <w:rsid w:val="004967FB"/>
    <w:rsid w:val="004A0218"/>
    <w:rsid w:val="004A2436"/>
    <w:rsid w:val="004A2BF8"/>
    <w:rsid w:val="004A7840"/>
    <w:rsid w:val="004B15B6"/>
    <w:rsid w:val="004B545A"/>
    <w:rsid w:val="004B5CA9"/>
    <w:rsid w:val="004B7E80"/>
    <w:rsid w:val="004C42A8"/>
    <w:rsid w:val="004C457E"/>
    <w:rsid w:val="004C48D5"/>
    <w:rsid w:val="004D03B7"/>
    <w:rsid w:val="004D1436"/>
    <w:rsid w:val="004D57AE"/>
    <w:rsid w:val="005056D4"/>
    <w:rsid w:val="00526B2B"/>
    <w:rsid w:val="0053236D"/>
    <w:rsid w:val="005362B0"/>
    <w:rsid w:val="00540FD8"/>
    <w:rsid w:val="00542447"/>
    <w:rsid w:val="00557EB9"/>
    <w:rsid w:val="00564312"/>
    <w:rsid w:val="005A2981"/>
    <w:rsid w:val="005B392B"/>
    <w:rsid w:val="005C6937"/>
    <w:rsid w:val="005C7F02"/>
    <w:rsid w:val="005F0A86"/>
    <w:rsid w:val="005F144A"/>
    <w:rsid w:val="005F1C00"/>
    <w:rsid w:val="0061621E"/>
    <w:rsid w:val="00617A05"/>
    <w:rsid w:val="00630AA8"/>
    <w:rsid w:val="00630B2E"/>
    <w:rsid w:val="00632EDB"/>
    <w:rsid w:val="00643D2A"/>
    <w:rsid w:val="00645E08"/>
    <w:rsid w:val="006476F4"/>
    <w:rsid w:val="00664E11"/>
    <w:rsid w:val="00673B30"/>
    <w:rsid w:val="00696659"/>
    <w:rsid w:val="00696E5D"/>
    <w:rsid w:val="006A22A9"/>
    <w:rsid w:val="006B5B86"/>
    <w:rsid w:val="006C5908"/>
    <w:rsid w:val="006C633E"/>
    <w:rsid w:val="006D56AB"/>
    <w:rsid w:val="006D734F"/>
    <w:rsid w:val="006E043F"/>
    <w:rsid w:val="006E4695"/>
    <w:rsid w:val="006E4B8B"/>
    <w:rsid w:val="006E5901"/>
    <w:rsid w:val="0071091C"/>
    <w:rsid w:val="00714961"/>
    <w:rsid w:val="007166B6"/>
    <w:rsid w:val="00734297"/>
    <w:rsid w:val="00744BD5"/>
    <w:rsid w:val="00745748"/>
    <w:rsid w:val="00750E36"/>
    <w:rsid w:val="00753CB0"/>
    <w:rsid w:val="00755460"/>
    <w:rsid w:val="00761FB7"/>
    <w:rsid w:val="00762107"/>
    <w:rsid w:val="00764CB9"/>
    <w:rsid w:val="00765B05"/>
    <w:rsid w:val="00767972"/>
    <w:rsid w:val="007724B0"/>
    <w:rsid w:val="0077269F"/>
    <w:rsid w:val="00785F45"/>
    <w:rsid w:val="00791CDD"/>
    <w:rsid w:val="0079240F"/>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471B6"/>
    <w:rsid w:val="00851521"/>
    <w:rsid w:val="0085686A"/>
    <w:rsid w:val="00860878"/>
    <w:rsid w:val="0087303B"/>
    <w:rsid w:val="008731FF"/>
    <w:rsid w:val="0088294A"/>
    <w:rsid w:val="0089282A"/>
    <w:rsid w:val="008A4538"/>
    <w:rsid w:val="008A704B"/>
    <w:rsid w:val="008B08D2"/>
    <w:rsid w:val="008B4EE5"/>
    <w:rsid w:val="008B5807"/>
    <w:rsid w:val="008C3178"/>
    <w:rsid w:val="008D5CA5"/>
    <w:rsid w:val="008D5FA0"/>
    <w:rsid w:val="008E2D38"/>
    <w:rsid w:val="008F5724"/>
    <w:rsid w:val="008F5900"/>
    <w:rsid w:val="00902633"/>
    <w:rsid w:val="009027D8"/>
    <w:rsid w:val="0090372F"/>
    <w:rsid w:val="00911E27"/>
    <w:rsid w:val="00911E9A"/>
    <w:rsid w:val="0092129A"/>
    <w:rsid w:val="00925BB2"/>
    <w:rsid w:val="00930C8C"/>
    <w:rsid w:val="009360EA"/>
    <w:rsid w:val="00947C57"/>
    <w:rsid w:val="00951149"/>
    <w:rsid w:val="00960EDB"/>
    <w:rsid w:val="009622DB"/>
    <w:rsid w:val="009664BC"/>
    <w:rsid w:val="009717A5"/>
    <w:rsid w:val="00980F02"/>
    <w:rsid w:val="00991B77"/>
    <w:rsid w:val="00997523"/>
    <w:rsid w:val="009A0C5D"/>
    <w:rsid w:val="009C4672"/>
    <w:rsid w:val="009C491B"/>
    <w:rsid w:val="009D0911"/>
    <w:rsid w:val="009D24F8"/>
    <w:rsid w:val="009D688C"/>
    <w:rsid w:val="009F7A36"/>
    <w:rsid w:val="00A249C2"/>
    <w:rsid w:val="00A24FAB"/>
    <w:rsid w:val="00A301E7"/>
    <w:rsid w:val="00A42E69"/>
    <w:rsid w:val="00A45CA7"/>
    <w:rsid w:val="00A51415"/>
    <w:rsid w:val="00A6014E"/>
    <w:rsid w:val="00A60356"/>
    <w:rsid w:val="00A81DF1"/>
    <w:rsid w:val="00A90EF3"/>
    <w:rsid w:val="00AA7717"/>
    <w:rsid w:val="00AB131E"/>
    <w:rsid w:val="00AB644F"/>
    <w:rsid w:val="00AC3F5E"/>
    <w:rsid w:val="00AD57D5"/>
    <w:rsid w:val="00AE7ACF"/>
    <w:rsid w:val="00B06409"/>
    <w:rsid w:val="00B17D66"/>
    <w:rsid w:val="00B31FD9"/>
    <w:rsid w:val="00B35D3A"/>
    <w:rsid w:val="00B422F1"/>
    <w:rsid w:val="00B71531"/>
    <w:rsid w:val="00B7456C"/>
    <w:rsid w:val="00B84131"/>
    <w:rsid w:val="00B8630E"/>
    <w:rsid w:val="00B931F4"/>
    <w:rsid w:val="00B95573"/>
    <w:rsid w:val="00B96395"/>
    <w:rsid w:val="00BA2AF8"/>
    <w:rsid w:val="00BB2650"/>
    <w:rsid w:val="00BB5BDC"/>
    <w:rsid w:val="00BB7B76"/>
    <w:rsid w:val="00BD233D"/>
    <w:rsid w:val="00BE2F29"/>
    <w:rsid w:val="00BF4EF0"/>
    <w:rsid w:val="00C02E44"/>
    <w:rsid w:val="00C0337D"/>
    <w:rsid w:val="00C147D2"/>
    <w:rsid w:val="00C2075F"/>
    <w:rsid w:val="00C23799"/>
    <w:rsid w:val="00C274C9"/>
    <w:rsid w:val="00C31E02"/>
    <w:rsid w:val="00C54291"/>
    <w:rsid w:val="00C672C3"/>
    <w:rsid w:val="00C712B2"/>
    <w:rsid w:val="00C94325"/>
    <w:rsid w:val="00C97FED"/>
    <w:rsid w:val="00CA1DBB"/>
    <w:rsid w:val="00CA2622"/>
    <w:rsid w:val="00CA7F2C"/>
    <w:rsid w:val="00CA7FF8"/>
    <w:rsid w:val="00CB1ABB"/>
    <w:rsid w:val="00CB5DE7"/>
    <w:rsid w:val="00CC068D"/>
    <w:rsid w:val="00CC4922"/>
    <w:rsid w:val="00CC68CC"/>
    <w:rsid w:val="00CD1FF6"/>
    <w:rsid w:val="00CE25C7"/>
    <w:rsid w:val="00CE3335"/>
    <w:rsid w:val="00CE4849"/>
    <w:rsid w:val="00CE5C8E"/>
    <w:rsid w:val="00CE5F49"/>
    <w:rsid w:val="00D003EC"/>
    <w:rsid w:val="00D01626"/>
    <w:rsid w:val="00D02F0F"/>
    <w:rsid w:val="00D12296"/>
    <w:rsid w:val="00D33A4D"/>
    <w:rsid w:val="00D33F76"/>
    <w:rsid w:val="00D41F5E"/>
    <w:rsid w:val="00D43DC0"/>
    <w:rsid w:val="00D54E56"/>
    <w:rsid w:val="00D6407D"/>
    <w:rsid w:val="00D93E78"/>
    <w:rsid w:val="00DC6E91"/>
    <w:rsid w:val="00DC7514"/>
    <w:rsid w:val="00DD0902"/>
    <w:rsid w:val="00DD3845"/>
    <w:rsid w:val="00E1687A"/>
    <w:rsid w:val="00E20A2E"/>
    <w:rsid w:val="00E277DE"/>
    <w:rsid w:val="00E27EE9"/>
    <w:rsid w:val="00E3239D"/>
    <w:rsid w:val="00E3254B"/>
    <w:rsid w:val="00E3439B"/>
    <w:rsid w:val="00E42C5F"/>
    <w:rsid w:val="00E65A1B"/>
    <w:rsid w:val="00E72F1F"/>
    <w:rsid w:val="00E841A2"/>
    <w:rsid w:val="00E84B03"/>
    <w:rsid w:val="00E934AB"/>
    <w:rsid w:val="00EA06AC"/>
    <w:rsid w:val="00EA08BF"/>
    <w:rsid w:val="00EA24FB"/>
    <w:rsid w:val="00EB3204"/>
    <w:rsid w:val="00EB50BA"/>
    <w:rsid w:val="00EC3D33"/>
    <w:rsid w:val="00ED302A"/>
    <w:rsid w:val="00ED3A42"/>
    <w:rsid w:val="00ED79A0"/>
    <w:rsid w:val="00EE02BC"/>
    <w:rsid w:val="00EE6970"/>
    <w:rsid w:val="00EF03A9"/>
    <w:rsid w:val="00EF38D0"/>
    <w:rsid w:val="00EF3DDF"/>
    <w:rsid w:val="00EF4A8C"/>
    <w:rsid w:val="00F11106"/>
    <w:rsid w:val="00F2678C"/>
    <w:rsid w:val="00F27B38"/>
    <w:rsid w:val="00F40278"/>
    <w:rsid w:val="00F41832"/>
    <w:rsid w:val="00F56988"/>
    <w:rsid w:val="00F620FB"/>
    <w:rsid w:val="00F6571F"/>
    <w:rsid w:val="00F72E5A"/>
    <w:rsid w:val="00F815BC"/>
    <w:rsid w:val="00F8687E"/>
    <w:rsid w:val="00F918EC"/>
    <w:rsid w:val="00F93331"/>
    <w:rsid w:val="00F95549"/>
    <w:rsid w:val="00FA1E24"/>
    <w:rsid w:val="00FA24FB"/>
    <w:rsid w:val="00FA632B"/>
    <w:rsid w:val="00FB38EA"/>
    <w:rsid w:val="00FB5E0F"/>
    <w:rsid w:val="00FB6AFF"/>
    <w:rsid w:val="00FC4D8F"/>
    <w:rsid w:val="00FD06D3"/>
    <w:rsid w:val="00FE3157"/>
    <w:rsid w:val="00FE6865"/>
    <w:rsid w:val="00FE6993"/>
    <w:rsid w:val="2B853B65"/>
    <w:rsid w:val="45AB301D"/>
    <w:rsid w:val="66325289"/>
    <w:rsid w:val="66D40C15"/>
    <w:rsid w:val="68BE6441"/>
    <w:rsid w:val="756E4295"/>
    <w:rsid w:val="7A3F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rules v:ext="edit">
        <o:r id="V:Rule1" type="connector" idref="#Straight Connector 424"/>
        <o:r id="V:Rule2" type="connector" idref="#Straight Connector 426"/>
        <o:r id="V:Rule3" type="connector" idref="#Straight Connector 425"/>
        <o:r id="V:Rule4" type="connector" idref="#Straight Connector 430"/>
        <o:r id="V:Rule5" type="connector" idref="#Straight Connector 429"/>
        <o:r id="V:Rule6" type="connector" idref="#Straight Connector 427"/>
        <o:r id="V:Rule7" type="connector" idref="#Straight Connector 428"/>
        <o:r id="V:Rule8" type="connector" idref="#Straight Connector 433"/>
        <o:r id="V:Rule9" type="connector" idref="#Straight Connector 431"/>
        <o:r id="V:Rule10" type="connector" idref="#Straight Connector 432"/>
      </o:rules>
    </o:shapelayout>
  </w:shapeDefaults>
  <w:decimalSymbol w:val="."/>
  <w:listSeparator w:val=","/>
  <w15:docId w15:val="{6BFD8193-8110-46CD-A98E-2C43C77C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pPr>
      <w:ind w:right="300"/>
      <w:outlineLvl w:val="2"/>
    </w:pPr>
    <w:rPr>
      <w:rFonts w:ascii="仿宋_GB2312" w:eastAsia="仿宋_GB2312"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sz w:val="18"/>
      <w:szCs w:val="18"/>
    </w:rPr>
  </w:style>
  <w:style w:type="paragraph" w:styleId="a4">
    <w:name w:val="annotation text"/>
    <w:basedOn w:val="a"/>
    <w:link w:val="Char0"/>
    <w:uiPriority w:val="99"/>
    <w:unhideWhenUsed/>
    <w:qFormat/>
    <w:pPr>
      <w:jc w:val="left"/>
    </w:pPr>
    <w:rPr>
      <w:rFonts w:cs="Times New Roman"/>
    </w:rPr>
  </w:style>
  <w:style w:type="paragraph" w:styleId="a5">
    <w:name w:val="Body Text"/>
    <w:basedOn w:val="a"/>
    <w:link w:val="Char1"/>
    <w:uiPriority w:val="1"/>
    <w:qFormat/>
    <w:pPr>
      <w:spacing w:before="190"/>
      <w:ind w:left="720"/>
      <w:jc w:val="left"/>
    </w:pPr>
    <w:rPr>
      <w:rFonts w:ascii="仿宋_GB2312" w:eastAsia="仿宋_GB2312" w:hAnsi="仿宋_GB2312" w:cs="Times New Roman"/>
      <w:kern w:val="0"/>
      <w:sz w:val="30"/>
      <w:szCs w:val="30"/>
      <w:lang w:eastAsia="en-US"/>
    </w:rPr>
  </w:style>
  <w:style w:type="paragraph" w:styleId="a6">
    <w:name w:val="Balloon Text"/>
    <w:basedOn w:val="a"/>
    <w:link w:val="Char2"/>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10"/>
    <w:semiHidden/>
    <w:qFormat/>
    <w:pPr>
      <w:snapToGrid w:val="0"/>
      <w:jc w:val="left"/>
    </w:pPr>
    <w:rPr>
      <w:rFonts w:ascii="Times New Roman" w:hAnsi="Times New Roman"/>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b">
    <w:name w:val="Hyperlink"/>
    <w:basedOn w:val="a0"/>
    <w:uiPriority w:val="99"/>
    <w:unhideWhenUsed/>
    <w:rPr>
      <w:rFonts w:ascii="ˎ̥" w:hAnsi="ˎ̥" w:hint="default"/>
      <w:color w:val="0453CC"/>
      <w:sz w:val="20"/>
      <w:szCs w:val="20"/>
      <w:u w:val="none"/>
    </w:rPr>
  </w:style>
  <w:style w:type="character" w:styleId="ac">
    <w:name w:val="annotation reference"/>
    <w:basedOn w:val="a0"/>
    <w:unhideWhenUsed/>
    <w:qFormat/>
    <w:rPr>
      <w:sz w:val="21"/>
      <w:szCs w:val="21"/>
    </w:rPr>
  </w:style>
  <w:style w:type="character" w:styleId="ad">
    <w:name w:val="footnote reference"/>
    <w:unhideWhenUsed/>
    <w:qFormat/>
    <w:rPr>
      <w:rFonts w:ascii="Times New Roman" w:hAnsi="Times New Roman" w:cs="Times New Roman"/>
      <w:vertAlign w:val="superscript"/>
    </w:rPr>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juzhong">
    <w:name w:val="juzhong"/>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修订1"/>
    <w:hidden/>
    <w:uiPriority w:val="99"/>
    <w:semiHidden/>
    <w:qFormat/>
    <w:rPr>
      <w:rFonts w:ascii="Calibri" w:hAnsi="Calibri" w:cs="黑体"/>
      <w:kern w:val="2"/>
      <w:sz w:val="21"/>
      <w:szCs w:val="22"/>
    </w:rPr>
  </w:style>
  <w:style w:type="paragraph" w:customStyle="1" w:styleId="12">
    <w:name w:val="列出段落1"/>
    <w:basedOn w:val="a"/>
    <w:uiPriority w:val="34"/>
    <w:qFormat/>
    <w:pPr>
      <w:ind w:firstLineChars="200" w:firstLine="420"/>
    </w:pPr>
    <w:rPr>
      <w:rFonts w:cs="Times New Roman"/>
    </w:rPr>
  </w:style>
  <w:style w:type="paragraph" w:customStyle="1" w:styleId="4">
    <w:name w:val="列出段落4"/>
    <w:basedOn w:val="a"/>
    <w:qFormat/>
    <w:pPr>
      <w:ind w:firstLineChars="200" w:firstLine="200"/>
    </w:pPr>
    <w:rPr>
      <w:rFonts w:cs="Times New Roman"/>
    </w:rPr>
  </w:style>
  <w:style w:type="paragraph" w:customStyle="1" w:styleId="30">
    <w:name w:val="列出段落3"/>
    <w:basedOn w:val="a"/>
    <w:qFormat/>
    <w:pPr>
      <w:ind w:firstLineChars="200" w:firstLine="420"/>
    </w:pPr>
    <w:rPr>
      <w:rFonts w:ascii="Times New Roman" w:hAnsi="Times New Roman" w:cs="Times New Roman"/>
      <w:szCs w:val="24"/>
    </w:rPr>
  </w:style>
  <w:style w:type="paragraph" w:customStyle="1" w:styleId="p0">
    <w:name w:val="p0"/>
    <w:basedOn w:val="a"/>
    <w:qFormat/>
    <w:pPr>
      <w:widowControl/>
    </w:pPr>
    <w:rPr>
      <w:rFonts w:cs="宋体"/>
      <w:kern w:val="0"/>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2">
    <w:name w:val="批注框文本 Char"/>
    <w:basedOn w:val="a0"/>
    <w:link w:val="a6"/>
    <w:semiHidden/>
    <w:rPr>
      <w:sz w:val="18"/>
      <w:szCs w:val="18"/>
    </w:rPr>
  </w:style>
  <w:style w:type="character" w:customStyle="1" w:styleId="HTMLChar">
    <w:name w:val="HTML 预设格式 Char"/>
    <w:basedOn w:val="a0"/>
    <w:link w:val="HTML"/>
    <w:uiPriority w:val="99"/>
    <w:rPr>
      <w:rFonts w:ascii="宋体" w:eastAsia="宋体" w:hAnsi="宋体" w:cs="宋体"/>
      <w:kern w:val="0"/>
      <w:sz w:val="24"/>
      <w:szCs w:val="24"/>
    </w:rPr>
  </w:style>
  <w:style w:type="character" w:customStyle="1" w:styleId="Char0">
    <w:name w:val="批注文字 Char"/>
    <w:basedOn w:val="a0"/>
    <w:link w:val="a4"/>
    <w:semiHidden/>
    <w:qFormat/>
    <w:rPr>
      <w:rFonts w:ascii="Calibri" w:eastAsia="宋体" w:hAnsi="Calibri" w:cs="Times New Roman"/>
    </w:rPr>
  </w:style>
  <w:style w:type="character" w:customStyle="1" w:styleId="1Char">
    <w:name w:val="标题 1 Char"/>
    <w:basedOn w:val="a0"/>
    <w:link w:val="1"/>
    <w:uiPriority w:val="9"/>
    <w:qFormat/>
    <w:rPr>
      <w:rFonts w:ascii="黑体" w:eastAsia="黑体" w:hAnsi="黑体" w:cs="宋体"/>
      <w:color w:val="000000"/>
      <w:kern w:val="0"/>
      <w:sz w:val="30"/>
      <w:szCs w:val="30"/>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uiPriority w:val="9"/>
    <w:qFormat/>
    <w:rPr>
      <w:rFonts w:ascii="仿宋_GB2312" w:eastAsia="仿宋_GB2312" w:hAnsi="Calibri" w:cs="Times New Roman"/>
      <w:sz w:val="30"/>
      <w:szCs w:val="30"/>
    </w:rPr>
  </w:style>
  <w:style w:type="character" w:customStyle="1" w:styleId="Char5">
    <w:name w:val="脚注文本 Char"/>
    <w:basedOn w:val="a0"/>
    <w:uiPriority w:val="99"/>
    <w:semiHidden/>
    <w:qFormat/>
    <w:rPr>
      <w:kern w:val="2"/>
      <w:sz w:val="18"/>
      <w:szCs w:val="18"/>
    </w:rPr>
  </w:style>
  <w:style w:type="character" w:customStyle="1" w:styleId="Char10">
    <w:name w:val="脚注文本 Char1"/>
    <w:basedOn w:val="a0"/>
    <w:link w:val="a9"/>
    <w:semiHidden/>
    <w:qFormat/>
    <w:rPr>
      <w:rFonts w:ascii="Times New Roman" w:hAnsi="Times New Roman"/>
      <w:sz w:val="18"/>
      <w:szCs w:val="18"/>
    </w:rPr>
  </w:style>
  <w:style w:type="character" w:customStyle="1" w:styleId="4CharChar">
    <w:name w:val="标题 4 Char Char"/>
    <w:qFormat/>
    <w:rPr>
      <w:rFonts w:ascii="Calibri" w:hAnsi="Calibri"/>
      <w:b/>
      <w:bCs/>
      <w:sz w:val="28"/>
      <w:szCs w:val="28"/>
      <w:lang w:eastAsia="en-US" w:bidi="en-US"/>
    </w:rPr>
  </w:style>
  <w:style w:type="character" w:customStyle="1" w:styleId="Char">
    <w:name w:val="文档结构图 Char"/>
    <w:basedOn w:val="a0"/>
    <w:link w:val="a3"/>
    <w:qFormat/>
    <w:rPr>
      <w:rFonts w:ascii="宋体"/>
      <w:sz w:val="18"/>
      <w:szCs w:val="18"/>
    </w:rPr>
  </w:style>
  <w:style w:type="character" w:customStyle="1" w:styleId="Char11">
    <w:name w:val="批注文字 Char1"/>
    <w:basedOn w:val="a0"/>
    <w:uiPriority w:val="99"/>
    <w:semiHidden/>
    <w:qFormat/>
    <w:rPr>
      <w:kern w:val="2"/>
      <w:sz w:val="21"/>
      <w:szCs w:val="22"/>
    </w:rPr>
  </w:style>
  <w:style w:type="character" w:customStyle="1" w:styleId="13">
    <w:name w:val="明显强调1"/>
    <w:basedOn w:val="a0"/>
    <w:uiPriority w:val="21"/>
    <w:qFormat/>
    <w:rPr>
      <w:b/>
      <w:bCs/>
      <w:i/>
      <w:iCs/>
      <w:color w:val="4F81BD"/>
    </w:rPr>
  </w:style>
  <w:style w:type="character" w:customStyle="1" w:styleId="Char12">
    <w:name w:val="文档结构图 Char1"/>
    <w:basedOn w:val="a0"/>
    <w:uiPriority w:val="99"/>
    <w:semiHidden/>
    <w:qFormat/>
    <w:rPr>
      <w:rFonts w:ascii="宋体" w:eastAsia="宋体"/>
      <w:sz w:val="18"/>
      <w:szCs w:val="18"/>
    </w:rPr>
  </w:style>
  <w:style w:type="character" w:customStyle="1" w:styleId="Char20">
    <w:name w:val="脚注文本 Char2"/>
    <w:basedOn w:val="a0"/>
    <w:uiPriority w:val="99"/>
    <w:semiHidden/>
    <w:qFormat/>
    <w:rPr>
      <w:sz w:val="18"/>
      <w:szCs w:val="18"/>
    </w:rPr>
  </w:style>
  <w:style w:type="character" w:customStyle="1" w:styleId="Char1">
    <w:name w:val="正文文本 Char"/>
    <w:basedOn w:val="a0"/>
    <w:link w:val="a5"/>
    <w:uiPriority w:val="1"/>
    <w:qFormat/>
    <w:rPr>
      <w:rFonts w:ascii="仿宋_GB2312" w:eastAsia="仿宋_GB2312" w:hAnsi="仿宋_GB2312" w:cs="Times New Roman"/>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afe.gov.cn" TargetMode="External"/><Relationship Id="rId4" Type="http://schemas.openxmlformats.org/officeDocument/2006/relationships/webSettings" Target="webSettings.xml"/><Relationship Id="rId9" Type="http://schemas.openxmlformats.org/officeDocument/2006/relationships/hyperlink" Target="http://www.safe.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编号：57013               _x0001_</dc:title>
  <dc:creator>裴建君2</dc:creator>
  <cp:lastModifiedBy>孟田</cp:lastModifiedBy>
  <cp:revision>1</cp:revision>
  <cp:lastPrinted>2017-11-24T00:22:00Z</cp:lastPrinted>
  <dcterms:created xsi:type="dcterms:W3CDTF">2020-02-17T02:50:00Z</dcterms:created>
  <dcterms:modified xsi:type="dcterms:W3CDTF">2021-02-07T03:31:00Z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