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40" w:rsidRDefault="00F83940">
      <w:pPr>
        <w:rPr>
          <w:rFonts w:ascii="Times New Roman" w:eastAsia="仿宋_GB2312" w:hAnsi="Times New Roman" w:cs="Times New Roman"/>
          <w:sz w:val="30"/>
          <w:szCs w:val="30"/>
        </w:rPr>
      </w:pPr>
    </w:p>
    <w:p w:rsidR="00F83940" w:rsidRDefault="00F83940">
      <w:pPr>
        <w:rPr>
          <w:rFonts w:ascii="Times New Roman" w:eastAsia="仿宋_GB2312" w:hAnsi="Times New Roman" w:cs="Times New Roman"/>
          <w:sz w:val="30"/>
          <w:szCs w:val="30"/>
        </w:rPr>
      </w:pPr>
    </w:p>
    <w:p w:rsidR="00F83940" w:rsidRDefault="002A362B">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57006</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8" o:title=""/>
          </v:shape>
        </w:pict>
      </w:r>
    </w:p>
    <w:p w:rsidR="00F83940" w:rsidRDefault="00F83940">
      <w:pPr>
        <w:ind w:right="300"/>
        <w:jc w:val="center"/>
        <w:rPr>
          <w:rFonts w:ascii="Times New Roman" w:eastAsia="黑体" w:hAnsi="Times New Roman" w:cs="Times New Roman"/>
          <w:sz w:val="30"/>
          <w:szCs w:val="30"/>
        </w:rPr>
      </w:pPr>
    </w:p>
    <w:p w:rsidR="00F83940" w:rsidRDefault="00F83940">
      <w:pPr>
        <w:ind w:right="300"/>
        <w:jc w:val="center"/>
        <w:rPr>
          <w:rFonts w:ascii="Times New Roman" w:eastAsia="黑体" w:hAnsi="Times New Roman" w:cs="Times New Roman"/>
          <w:sz w:val="30"/>
          <w:szCs w:val="30"/>
        </w:rPr>
      </w:pPr>
    </w:p>
    <w:p w:rsidR="00F83940" w:rsidRDefault="00F83940">
      <w:pPr>
        <w:ind w:right="300"/>
        <w:jc w:val="center"/>
        <w:rPr>
          <w:rFonts w:ascii="Times New Roman" w:eastAsia="黑体" w:hAnsi="Times New Roman" w:cs="Times New Roman"/>
          <w:sz w:val="30"/>
          <w:szCs w:val="30"/>
        </w:rPr>
      </w:pPr>
    </w:p>
    <w:p w:rsidR="00F83940" w:rsidRDefault="00F83940">
      <w:pPr>
        <w:ind w:right="300"/>
        <w:jc w:val="center"/>
        <w:rPr>
          <w:rFonts w:ascii="Times New Roman" w:eastAsia="黑体" w:hAnsi="Times New Roman" w:cs="Times New Roman"/>
          <w:sz w:val="52"/>
          <w:szCs w:val="52"/>
        </w:rPr>
      </w:pPr>
    </w:p>
    <w:p w:rsidR="00F83940" w:rsidRDefault="002A362B">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F83940" w:rsidRDefault="002A362B">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F83940" w:rsidRDefault="00F83940">
      <w:pPr>
        <w:ind w:right="300"/>
        <w:rPr>
          <w:rFonts w:ascii="Times New Roman" w:eastAsia="仿宋_GB2312" w:hAnsi="Times New Roman" w:cs="Times New Roman"/>
          <w:sz w:val="30"/>
          <w:szCs w:val="30"/>
        </w:rPr>
      </w:pPr>
    </w:p>
    <w:p w:rsidR="00F83940" w:rsidRDefault="00F83940">
      <w:pPr>
        <w:ind w:right="300"/>
        <w:jc w:val="center"/>
        <w:rPr>
          <w:rFonts w:ascii="Times New Roman" w:eastAsia="仿宋_GB2312" w:hAnsi="Times New Roman" w:cs="Times New Roman"/>
          <w:sz w:val="30"/>
          <w:szCs w:val="30"/>
        </w:rPr>
      </w:pPr>
    </w:p>
    <w:p w:rsidR="00F83940" w:rsidRDefault="00F83940">
      <w:pPr>
        <w:ind w:right="300"/>
        <w:rPr>
          <w:rFonts w:ascii="Times New Roman" w:eastAsia="仿宋_GB2312" w:hAnsi="Times New Roman" w:cs="Times New Roman"/>
          <w:sz w:val="30"/>
          <w:szCs w:val="30"/>
        </w:rPr>
      </w:pPr>
    </w:p>
    <w:p w:rsidR="00F83940" w:rsidRDefault="002A362B">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F83940" w:rsidRDefault="002A362B">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F83940" w:rsidRDefault="002A362B">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F83940" w:rsidRDefault="00F83940">
      <w:pPr>
        <w:ind w:right="300"/>
        <w:rPr>
          <w:rFonts w:ascii="Times New Roman" w:eastAsia="仿宋_GB2312" w:hAnsi="Times New Roman" w:cs="Times New Roman"/>
          <w:sz w:val="30"/>
          <w:szCs w:val="30"/>
        </w:rPr>
      </w:pPr>
    </w:p>
    <w:p w:rsidR="00F83940" w:rsidRDefault="00F83940">
      <w:pPr>
        <w:ind w:right="300"/>
        <w:rPr>
          <w:rFonts w:ascii="Times New Roman" w:eastAsia="仿宋_GB2312" w:hAnsi="Times New Roman" w:cs="Times New Roman"/>
          <w:sz w:val="30"/>
          <w:szCs w:val="30"/>
        </w:rPr>
      </w:pPr>
    </w:p>
    <w:p w:rsidR="00F83940" w:rsidRDefault="00F83940">
      <w:pPr>
        <w:ind w:right="300"/>
        <w:rPr>
          <w:rFonts w:ascii="Times New Roman" w:eastAsia="仿宋_GB2312" w:hAnsi="Times New Roman" w:cs="Times New Roman"/>
          <w:sz w:val="30"/>
          <w:szCs w:val="30"/>
        </w:rPr>
      </w:pPr>
    </w:p>
    <w:p w:rsidR="00F83940" w:rsidRDefault="002A362B">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lastRenderedPageBreak/>
        <w:t xml:space="preserve">    </w:t>
      </w:r>
      <w:r>
        <w:rPr>
          <w:rFonts w:ascii="Times New Roman" w:eastAsia="黑体" w:hAnsi="Times New Roman"/>
          <w:sz w:val="30"/>
          <w:szCs w:val="30"/>
        </w:rPr>
        <w:t>一、项目信息</w:t>
      </w:r>
    </w:p>
    <w:p w:rsidR="00F83940" w:rsidRDefault="002A362B">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F83940" w:rsidRDefault="002A362B">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F83940" w:rsidRDefault="002A362B">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F83940" w:rsidRDefault="002A362B">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F83940" w:rsidRDefault="002A362B">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F83940" w:rsidRDefault="002A362B">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cs="Times New Roman" w:hint="eastAsia"/>
          <w:sz w:val="30"/>
          <w:szCs w:val="30"/>
        </w:rPr>
        <w:t>、外债转贷款</w:t>
      </w:r>
      <w:r>
        <w:rPr>
          <w:rFonts w:ascii="Times New Roman" w:eastAsia="仿宋_GB2312" w:hAnsi="Times New Roman" w:cs="Times New Roman"/>
          <w:sz w:val="30"/>
          <w:szCs w:val="30"/>
        </w:rPr>
        <w:t>审批、登记及履约核准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F83940" w:rsidRDefault="002A362B">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F83940" w:rsidRDefault="002A362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F83940" w:rsidRDefault="002A362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w:t>
      </w:r>
      <w:r>
        <w:rPr>
          <w:rFonts w:ascii="Times New Roman" w:eastAsia="仿宋_GB2312" w:hAnsi="Times New Roman" w:cs="Times New Roman"/>
          <w:sz w:val="30"/>
          <w:szCs w:val="30"/>
        </w:rPr>
        <w:t>保的除外。国家规定境内机构的经营范围需经有关主管部门批准的，应当在向外汇管理机关提出申请前办理批准手续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F83940" w:rsidRDefault="002A362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F83940" w:rsidRDefault="002A362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F83940" w:rsidRDefault="002A362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w:t>
      </w:r>
      <w:r>
        <w:rPr>
          <w:rFonts w:ascii="Times New Roman" w:eastAsia="仿宋_GB2312" w:hAnsi="Times New Roman" w:cs="Times New Roman"/>
          <w:sz w:val="30"/>
          <w:szCs w:val="30"/>
        </w:rPr>
        <w:t>款实行余额管理，余额由国家外汇管理局核定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F83940" w:rsidRDefault="002A362B">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四、非银行债务人外债登记</w:t>
      </w:r>
    </w:p>
    <w:p w:rsidR="00F83940" w:rsidRDefault="002A362B">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F83940" w:rsidRDefault="002A36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F83940" w:rsidRDefault="002A36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《外债统计监测暂行规定》（</w:t>
      </w:r>
      <w:r>
        <w:rPr>
          <w:rFonts w:ascii="Times New Roman" w:eastAsia="仿宋_GB2312" w:hAnsi="Times New Roman" w:cs="Times New Roman"/>
          <w:sz w:val="30"/>
          <w:szCs w:val="30"/>
        </w:rPr>
        <w:t>1987</w:t>
      </w:r>
      <w:r>
        <w:rPr>
          <w:rFonts w:ascii="Times New Roman" w:eastAsia="仿宋_GB2312" w:hAnsi="Times New Roman" w:cs="Times New Roman"/>
          <w:sz w:val="30"/>
          <w:szCs w:val="30"/>
        </w:rPr>
        <w:t>年公布）。</w:t>
      </w:r>
    </w:p>
    <w:p w:rsidR="00F83940" w:rsidRDefault="002A36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《国家外汇管理局关于发布〈外债登记管理办法〉的通知》（汇发〔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F83940" w:rsidRDefault="002A362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《中国人民银行关于全口径跨境融资宏观审慎管理有关事宜的通知》（银发〔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F83940" w:rsidRDefault="002A36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《国家外汇管理局关于印发〈跨国公司跨境资金集中运营管理规定〉的通知》（汇发〔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号）。</w:t>
      </w:r>
    </w:p>
    <w:p w:rsidR="00F83940" w:rsidRDefault="002A36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hAnsi="Times New Roman" w:cs="Times New Roman"/>
        </w:rPr>
        <w:t xml:space="preserve"> </w:t>
      </w:r>
      <w:r>
        <w:rPr>
          <w:rFonts w:ascii="Times New Roman" w:eastAsia="仿宋_GB2312" w:hAnsi="Times New Roman" w:cs="Times New Roman"/>
          <w:sz w:val="30"/>
          <w:szCs w:val="30"/>
        </w:rPr>
        <w:t>《国家外汇管理局关于进一步促进跨境贸易投资便利化的通知》（汇发〔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w:t>
      </w:r>
    </w:p>
    <w:p w:rsidR="00F83940" w:rsidRDefault="002A36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7.</w:t>
      </w:r>
      <w:r>
        <w:rPr>
          <w:rFonts w:ascii="Times New Roman" w:eastAsia="仿宋_GB2312" w:hAnsi="Times New Roman" w:cs="Times New Roman"/>
          <w:sz w:val="30"/>
          <w:szCs w:val="30"/>
        </w:rPr>
        <w:t>《中国人民银行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国家外汇管理局关于调整全口径跨境融资宏观审慎调节参数的通知》（银发〔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64</w:t>
      </w:r>
      <w:r>
        <w:rPr>
          <w:rFonts w:ascii="Times New Roman" w:eastAsia="仿宋_GB2312" w:hAnsi="Times New Roman" w:cs="Times New Roman"/>
          <w:sz w:val="30"/>
          <w:szCs w:val="30"/>
        </w:rPr>
        <w:t>号）</w:t>
      </w:r>
    </w:p>
    <w:p w:rsidR="00F83940" w:rsidRDefault="002A36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F83940" w:rsidRDefault="002A36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F83940" w:rsidRDefault="002A362B">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F83940" w:rsidRDefault="002A36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lastRenderedPageBreak/>
        <w:t>申请人所在地外汇局。</w:t>
      </w:r>
    </w:p>
    <w:p w:rsidR="00F83940" w:rsidRDefault="002A36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F83940" w:rsidRDefault="002A36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仿宋_GB2312" w:cs="Times New Roman"/>
          <w:sz w:val="30"/>
          <w:szCs w:val="30"/>
        </w:rPr>
        <w:t>无数量限制，按全口径跨境融资宏观审慎或</w:t>
      </w:r>
      <w:r>
        <w:rPr>
          <w:rFonts w:ascii="Times New Roman" w:eastAsia="仿宋_GB2312" w:hAnsi="Times New Roman" w:cs="Times New Roman"/>
          <w:sz w:val="30"/>
          <w:szCs w:val="30"/>
        </w:rPr>
        <w:t>“</w:t>
      </w:r>
      <w:r>
        <w:rPr>
          <w:rFonts w:ascii="Times New Roman" w:eastAsia="仿宋_GB2312" w:hAnsi="仿宋_GB2312" w:cs="Times New Roman"/>
          <w:sz w:val="30"/>
          <w:szCs w:val="30"/>
        </w:rPr>
        <w:t>投注差</w:t>
      </w:r>
      <w:r>
        <w:rPr>
          <w:rFonts w:ascii="Times New Roman" w:eastAsia="仿宋_GB2312" w:hAnsi="Times New Roman" w:cs="Times New Roman"/>
          <w:sz w:val="30"/>
          <w:szCs w:val="30"/>
        </w:rPr>
        <w:t>”</w:t>
      </w:r>
      <w:r>
        <w:rPr>
          <w:rFonts w:ascii="Times New Roman" w:eastAsia="仿宋_GB2312" w:hAnsi="仿宋_GB2312" w:cs="Times New Roman"/>
          <w:sz w:val="30"/>
          <w:szCs w:val="30"/>
        </w:rPr>
        <w:t>模式管理。</w:t>
      </w:r>
    </w:p>
    <w:p w:rsidR="00F83940" w:rsidRDefault="002A362B">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（五）办事条件</w:t>
      </w:r>
    </w:p>
    <w:p w:rsidR="00F83940" w:rsidRDefault="002A36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申请人条件</w:t>
      </w:r>
    </w:p>
    <w:p w:rsidR="00F83940" w:rsidRDefault="002A36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）新办登记。申请人为按照规定可以举借外债的财政部门、银行以外的其他境内债务人（以下简称</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非银行债务人</w:t>
      </w:r>
      <w:r>
        <w:rPr>
          <w:rFonts w:ascii="Times New Roman" w:eastAsia="仿宋_GB2312" w:hAnsi="Times New Roman" w:cs="Times New Roman"/>
          <w:sz w:val="30"/>
          <w:szCs w:val="30"/>
        </w:rPr>
        <w:t>”</w:t>
      </w:r>
      <w:r>
        <w:rPr>
          <w:rFonts w:ascii="Times New Roman" w:eastAsia="仿宋_GB2312" w:hAnsi="Times New Roman" w:cs="Times New Roman"/>
          <w:sz w:val="30"/>
          <w:szCs w:val="30"/>
        </w:rPr>
        <w:t>）。应当在不晚于外债提款前</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个工作日内，到所在地国家外汇管理局分支局办理外债签约登记手续。非银行债务人融资租赁、售后融资性回租和发行境外债券等，也应办理外债签约登记手续。</w:t>
      </w:r>
    </w:p>
    <w:p w:rsidR="00F83940" w:rsidRDefault="002A36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）变更登记。已办理签约登记的外债合同主要条款发生变化，如期限（展期等）、金额、债权人等，非银行债务人应办理外债签约变更登记。</w:t>
      </w:r>
    </w:p>
    <w:p w:rsidR="00F83940" w:rsidRDefault="002A362B">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集中外债额度业务备案。具备真实业务需求；具有完善的跨境资金管理架构、内控</w:t>
      </w:r>
      <w:r>
        <w:rPr>
          <w:rFonts w:ascii="Times New Roman" w:eastAsia="仿宋_GB2312" w:hAnsi="Times New Roman" w:cs="Times New Roman"/>
          <w:sz w:val="30"/>
          <w:szCs w:val="30"/>
        </w:rPr>
        <w:t>制度；建立相应的内部管理电子系统；上年度本外币国际收支规模超过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w:t>
      </w:r>
      <w:r>
        <w:rPr>
          <w:rFonts w:ascii="Times New Roman" w:eastAsia="仿宋_GB2312" w:hAnsi="Times New Roman" w:cs="Times New Roman"/>
          <w:sz w:val="30"/>
          <w:szCs w:val="30"/>
        </w:rPr>
        <w:t>A</w:t>
      </w:r>
      <w:r>
        <w:rPr>
          <w:rFonts w:ascii="Times New Roman" w:eastAsia="仿宋_GB2312" w:hAnsi="Times New Roman" w:cs="Times New Roman"/>
          <w:sz w:val="30"/>
          <w:szCs w:val="30"/>
        </w:rPr>
        <w:t>类；</w:t>
      </w:r>
      <w:r>
        <w:rPr>
          <w:rFonts w:ascii="Times New Roman" w:eastAsia="仿宋_GB2312" w:hAnsi="Times New Roman" w:cs="Times New Roman"/>
          <w:spacing w:val="-6"/>
          <w:sz w:val="30"/>
          <w:szCs w:val="30"/>
        </w:rPr>
        <w:t>国家外汇管理局规定的其他审慎监管条件</w:t>
      </w:r>
      <w:r>
        <w:rPr>
          <w:rFonts w:ascii="Times New Roman" w:eastAsia="仿宋_GB2312" w:hAnsi="Times New Roman" w:cs="Times New Roman"/>
          <w:sz w:val="30"/>
          <w:szCs w:val="30"/>
        </w:rPr>
        <w:t>。</w:t>
      </w:r>
    </w:p>
    <w:p w:rsidR="00F83940" w:rsidRDefault="002A36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以下情形，不予办理外债签约登记：</w:t>
      </w:r>
    </w:p>
    <w:p w:rsidR="00F83940" w:rsidRDefault="002A36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2007</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6</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日以后（含）取得商务主管部门批准证书且通过商务部备案的外商投资房地产企业；</w:t>
      </w:r>
    </w:p>
    <w:p w:rsidR="00F83940" w:rsidRDefault="002A362B">
      <w:pPr>
        <w:numPr>
          <w:ilvl w:val="0"/>
          <w:numId w:val="3"/>
        </w:num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外商投资房地产企业未取得《国有土地使用证》的，或开发项</w:t>
      </w:r>
      <w:r>
        <w:rPr>
          <w:rFonts w:ascii="Times New Roman" w:eastAsia="仿宋_GB2312" w:hAnsi="Times New Roman" w:cs="Times New Roman"/>
          <w:sz w:val="30"/>
          <w:szCs w:val="30"/>
        </w:rPr>
        <w:t>目资本金未达到项目投资总额</w:t>
      </w:r>
      <w:r>
        <w:rPr>
          <w:rFonts w:ascii="Times New Roman" w:eastAsia="仿宋_GB2312" w:hAnsi="Times New Roman" w:cs="Times New Roman"/>
          <w:sz w:val="30"/>
          <w:szCs w:val="30"/>
        </w:rPr>
        <w:t>35</w:t>
      </w:r>
      <w:r>
        <w:rPr>
          <w:rFonts w:ascii="Times New Roman" w:eastAsia="仿宋_GB2312" w:hAnsi="Times New Roman" w:cs="Times New Roman"/>
          <w:sz w:val="30"/>
          <w:szCs w:val="30"/>
        </w:rPr>
        <w:t>％的。</w:t>
      </w:r>
    </w:p>
    <w:p w:rsidR="00F83940" w:rsidRDefault="002A362B">
      <w:pPr>
        <w:numPr>
          <w:ilvl w:val="0"/>
          <w:numId w:val="3"/>
        </w:num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属于地方政府融资平台性质的公司与房地产企业，不适用于宏观审慎管理模式。</w:t>
      </w:r>
    </w:p>
    <w:p w:rsidR="00F83940" w:rsidRDefault="002A36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境内机构在境外发行债券的，无论期限长短，均应在境外债券交割后</w:t>
      </w:r>
      <w:r>
        <w:rPr>
          <w:rFonts w:ascii="Times New Roman" w:eastAsia="仿宋_GB2312" w:hAnsi="Times New Roman" w:cs="Times New Roman"/>
          <w:sz w:val="30"/>
          <w:szCs w:val="30"/>
        </w:rPr>
        <w:t>15</w:t>
      </w:r>
      <w:r>
        <w:rPr>
          <w:rFonts w:ascii="Times New Roman" w:eastAsia="仿宋_GB2312" w:hAnsi="Times New Roman" w:cs="Times New Roman" w:hint="eastAsia"/>
          <w:sz w:val="30"/>
          <w:szCs w:val="30"/>
        </w:rPr>
        <w:t>个工作日</w:t>
      </w:r>
      <w:r>
        <w:rPr>
          <w:rFonts w:ascii="Times New Roman" w:eastAsia="仿宋_GB2312" w:hAnsi="Times New Roman" w:cs="Times New Roman"/>
          <w:sz w:val="30"/>
          <w:szCs w:val="30"/>
        </w:rPr>
        <w:t>内，按规定到所在地外汇局办理外债签约登记手续。境内机构对外发行短期债券的，应纳入全口径跨境融资宏观审慎政策框架进行管理。采用</w:t>
      </w:r>
      <w:r>
        <w:rPr>
          <w:rFonts w:ascii="Times New Roman" w:eastAsia="仿宋_GB2312" w:hAnsi="Times New Roman" w:cs="Times New Roman"/>
          <w:sz w:val="30"/>
          <w:szCs w:val="30"/>
        </w:rPr>
        <w:t>“</w:t>
      </w:r>
      <w:r>
        <w:rPr>
          <w:rFonts w:ascii="Times New Roman" w:eastAsia="仿宋_GB2312" w:hAnsi="Times New Roman" w:cs="Times New Roman"/>
          <w:sz w:val="30"/>
          <w:szCs w:val="30"/>
        </w:rPr>
        <w:t>投注差</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外债管理模式的境内外商投资企业（包括</w:t>
      </w:r>
      <w:r>
        <w:rPr>
          <w:rFonts w:ascii="Times New Roman" w:eastAsia="仿宋_GB2312" w:hAnsi="Times New Roman" w:cs="Times New Roman"/>
          <w:sz w:val="30"/>
          <w:szCs w:val="30"/>
        </w:rPr>
        <w:t>2007</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6</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日前成立的外资房地产企业）在境外发行短期债券，所发行的短期债券应占用该企业按</w:t>
      </w:r>
      <w:r>
        <w:rPr>
          <w:rFonts w:ascii="Times New Roman" w:eastAsia="仿宋_GB2312" w:hAnsi="Times New Roman" w:cs="Times New Roman"/>
          <w:sz w:val="30"/>
          <w:szCs w:val="30"/>
        </w:rPr>
        <w:t>“</w:t>
      </w:r>
      <w:r>
        <w:rPr>
          <w:rFonts w:ascii="Times New Roman" w:eastAsia="仿宋_GB2312" w:hAnsi="Times New Roman" w:cs="Times New Roman"/>
          <w:sz w:val="30"/>
          <w:szCs w:val="30"/>
        </w:rPr>
        <w:t>投注差</w:t>
      </w:r>
      <w:r>
        <w:rPr>
          <w:rFonts w:ascii="Times New Roman" w:eastAsia="仿宋_GB2312" w:hAnsi="Times New Roman" w:cs="Times New Roman"/>
          <w:sz w:val="30"/>
          <w:szCs w:val="30"/>
        </w:rPr>
        <w:t>”</w:t>
      </w:r>
      <w:r>
        <w:rPr>
          <w:rFonts w:ascii="Times New Roman" w:eastAsia="仿宋_GB2312" w:hAnsi="Times New Roman" w:cs="Times New Roman"/>
          <w:sz w:val="30"/>
          <w:szCs w:val="30"/>
        </w:rPr>
        <w:t>方式计算的外债额度。</w:t>
      </w:r>
    </w:p>
    <w:p w:rsidR="00F83940" w:rsidRDefault="002A36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非银行债务人已登记外债符合</w:t>
      </w:r>
      <w:r>
        <w:rPr>
          <w:rFonts w:ascii="Times New Roman" w:eastAsia="仿宋_GB2312" w:hAnsi="Times New Roman" w:cs="Times New Roman"/>
          <w:sz w:val="30"/>
          <w:szCs w:val="30"/>
        </w:rPr>
        <w:t>以下条件的，在办妥最后一笔还本付息业务、关闭相关外债账户后，可向所属分局（外汇管理部）辖内银行申请办理外债注销登记：</w:t>
      </w:r>
    </w:p>
    <w:p w:rsidR="00F83940" w:rsidRDefault="002A36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）已登记外债未偿余额为零且不再发生提款；</w:t>
      </w:r>
    </w:p>
    <w:p w:rsidR="00F83940" w:rsidRDefault="002A36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）已登记外债完成所有还本付息业务且不再发生提款，但由于扣划手续费等合理原因导致未偿余额不为零，银行能够核实并确定未偿余额不为零的原因合理。</w:t>
      </w:r>
      <w:r>
        <w:rPr>
          <w:rFonts w:ascii="Times New Roman" w:eastAsia="仿宋_GB2312" w:hAnsi="Times New Roman" w:cs="Times New Roman"/>
          <w:sz w:val="30"/>
          <w:szCs w:val="30"/>
        </w:rPr>
        <w:t xml:space="preserve"> </w:t>
      </w:r>
    </w:p>
    <w:p w:rsidR="00F83940" w:rsidRDefault="002A36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5. </w:t>
      </w:r>
      <w:r>
        <w:rPr>
          <w:rFonts w:ascii="Times New Roman" w:eastAsia="仿宋_GB2312" w:hAnsi="Times New Roman" w:cs="Times New Roman"/>
          <w:sz w:val="30"/>
          <w:szCs w:val="30"/>
        </w:rPr>
        <w:t>不符合在银行办理外债注销登记条件（如债务减免、债转股等）的，非银行债务人应向所在地外汇局申请办理外债注销登记。</w:t>
      </w:r>
    </w:p>
    <w:p w:rsidR="00F83940" w:rsidRDefault="002A36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禁止性要求：如符合上述条件，不存在不予许可的情况。</w:t>
      </w:r>
    </w:p>
    <w:p w:rsidR="00F83940" w:rsidRDefault="002A362B">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（六）申请材料</w:t>
      </w:r>
    </w:p>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．非银行债务人外债登记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外债签约（变更）登记申请材料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253"/>
        <w:gridCol w:w="992"/>
        <w:gridCol w:w="567"/>
        <w:gridCol w:w="851"/>
        <w:gridCol w:w="567"/>
        <w:gridCol w:w="759"/>
      </w:tblGrid>
      <w:tr w:rsidR="00F83940">
        <w:tc>
          <w:tcPr>
            <w:tcW w:w="533"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3"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83940">
        <w:tc>
          <w:tcPr>
            <w:tcW w:w="533"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3"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（选择宏观审慎模式的机构，附《宏观审慎跨境融资风险加权余额情况表（企业版）》）</w:t>
            </w:r>
          </w:p>
        </w:tc>
        <w:tc>
          <w:tcPr>
            <w:tcW w:w="992"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567"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83940" w:rsidRDefault="00F83940">
            <w:pPr>
              <w:keepNext/>
              <w:keepLines/>
              <w:spacing w:before="340" w:after="330" w:line="578" w:lineRule="auto"/>
              <w:jc w:val="left"/>
              <w:rPr>
                <w:rFonts w:ascii="Times New Roman" w:eastAsia="仿宋_GB2312" w:hAnsi="Times New Roman" w:cs="Times New Roman"/>
                <w:sz w:val="24"/>
                <w:szCs w:val="24"/>
              </w:rPr>
            </w:pPr>
          </w:p>
        </w:tc>
        <w:tc>
          <w:tcPr>
            <w:tcW w:w="759" w:type="dxa"/>
            <w:vAlign w:val="center"/>
          </w:tcPr>
          <w:p w:rsidR="00F83940" w:rsidRDefault="00F83940">
            <w:pPr>
              <w:jc w:val="left"/>
              <w:rPr>
                <w:rFonts w:ascii="Times New Roman" w:eastAsia="仿宋_GB2312" w:hAnsi="Times New Roman" w:cs="Times New Roman"/>
                <w:sz w:val="24"/>
                <w:szCs w:val="24"/>
              </w:rPr>
            </w:pPr>
          </w:p>
        </w:tc>
      </w:tr>
      <w:tr w:rsidR="00F83940">
        <w:trPr>
          <w:trHeight w:val="378"/>
        </w:trPr>
        <w:tc>
          <w:tcPr>
            <w:tcW w:w="533"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3"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加盖公章的外债合同主要条款复印件</w:t>
            </w:r>
            <w:r>
              <w:rPr>
                <w:rFonts w:ascii="Times New Roman" w:eastAsia="仿宋_GB2312" w:hAnsi="Times New Roman" w:cs="Times New Roman" w:hint="eastAsia"/>
                <w:sz w:val="24"/>
                <w:szCs w:val="24"/>
              </w:rPr>
              <w:t>（境外发行债券的，应提供全球债券证书等证明材料）</w:t>
            </w:r>
          </w:p>
        </w:tc>
        <w:tc>
          <w:tcPr>
            <w:tcW w:w="992"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83940" w:rsidRDefault="00F83940">
            <w:pPr>
              <w:jc w:val="left"/>
              <w:rPr>
                <w:rFonts w:ascii="Times New Roman" w:eastAsia="仿宋_GB2312" w:hAnsi="Times New Roman" w:cs="Times New Roman"/>
                <w:sz w:val="24"/>
                <w:szCs w:val="24"/>
              </w:rPr>
            </w:pPr>
          </w:p>
        </w:tc>
        <w:tc>
          <w:tcPr>
            <w:tcW w:w="759"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F83940">
        <w:tc>
          <w:tcPr>
            <w:tcW w:w="533"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3"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选择宏观审慎模式的机构，提交</w:t>
            </w:r>
            <w:r>
              <w:rPr>
                <w:rFonts w:ascii="Times New Roman" w:eastAsia="仿宋_GB2312" w:hAnsi="Times New Roman" w:cs="Times New Roman" w:hint="eastAsia"/>
                <w:color w:val="000000"/>
                <w:sz w:val="24"/>
                <w:szCs w:val="24"/>
              </w:rPr>
              <w:t>上年度或最近一期经审计的财务报告，以及其他相关批准文件（发展改革部门备案文件，如有）</w:t>
            </w:r>
          </w:p>
        </w:tc>
        <w:tc>
          <w:tcPr>
            <w:tcW w:w="992"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83940" w:rsidRDefault="00F83940">
            <w:pPr>
              <w:jc w:val="left"/>
              <w:rPr>
                <w:rFonts w:ascii="Times New Roman" w:eastAsia="仿宋_GB2312" w:hAnsi="Times New Roman" w:cs="Times New Roman"/>
                <w:sz w:val="24"/>
                <w:szCs w:val="24"/>
              </w:rPr>
            </w:pPr>
          </w:p>
        </w:tc>
        <w:tc>
          <w:tcPr>
            <w:tcW w:w="759"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F83940">
        <w:tc>
          <w:tcPr>
            <w:tcW w:w="533"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4253"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选择</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投注差</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模式的外商投资企业，应提供外商投资企业批准证书或商务部业务系统统一平台打印的外商投资企业基本信息页面</w:t>
            </w:r>
          </w:p>
        </w:tc>
        <w:tc>
          <w:tcPr>
            <w:tcW w:w="992"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83940" w:rsidRDefault="00F83940">
            <w:pPr>
              <w:jc w:val="left"/>
              <w:rPr>
                <w:rFonts w:ascii="Times New Roman" w:eastAsia="仿宋_GB2312" w:hAnsi="Times New Roman" w:cs="Times New Roman"/>
                <w:sz w:val="24"/>
                <w:szCs w:val="24"/>
              </w:rPr>
            </w:pPr>
          </w:p>
        </w:tc>
        <w:tc>
          <w:tcPr>
            <w:tcW w:w="759"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F83940">
        <w:tc>
          <w:tcPr>
            <w:tcW w:w="533"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4253"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hint="eastAsia"/>
                <w:color w:val="000000"/>
                <w:sz w:val="24"/>
                <w:szCs w:val="24"/>
              </w:rPr>
              <w:t>因外债合同主要条款发生变化，需办理外债变更登记的，还需提供原《境内机构外债签约情况表》</w:t>
            </w:r>
          </w:p>
        </w:tc>
        <w:tc>
          <w:tcPr>
            <w:tcW w:w="992"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F83940" w:rsidRDefault="00F83940">
            <w:pPr>
              <w:jc w:val="left"/>
              <w:rPr>
                <w:rFonts w:ascii="Times New Roman" w:eastAsia="仿宋_GB2312" w:hAnsi="Times New Roman" w:cs="Times New Roman"/>
                <w:sz w:val="24"/>
                <w:szCs w:val="24"/>
              </w:rPr>
            </w:pPr>
          </w:p>
        </w:tc>
        <w:tc>
          <w:tcPr>
            <w:tcW w:w="759"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F83940" w:rsidRDefault="00F83940">
      <w:pPr>
        <w:ind w:firstLineChars="200" w:firstLine="600"/>
        <w:rPr>
          <w:rFonts w:ascii="Times New Roman" w:eastAsia="仿宋_GB2312" w:hAnsi="Times New Roman" w:cs="Times New Roman"/>
          <w:sz w:val="30"/>
          <w:szCs w:val="30"/>
        </w:rPr>
      </w:pPr>
    </w:p>
    <w:p w:rsidR="00F83940" w:rsidRDefault="00F83940">
      <w:pPr>
        <w:ind w:firstLineChars="200" w:firstLine="600"/>
        <w:rPr>
          <w:rFonts w:ascii="Times New Roman" w:eastAsia="仿宋_GB2312" w:hAnsi="Times New Roman" w:cs="Times New Roman"/>
          <w:sz w:val="30"/>
          <w:szCs w:val="30"/>
        </w:rPr>
      </w:pPr>
    </w:p>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集中外债额度业务备案</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5567"/>
        <w:gridCol w:w="992"/>
        <w:gridCol w:w="387"/>
        <w:gridCol w:w="587"/>
        <w:gridCol w:w="494"/>
        <w:gridCol w:w="494"/>
      </w:tblGrid>
      <w:tr w:rsidR="00F83940">
        <w:tc>
          <w:tcPr>
            <w:tcW w:w="495"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序号</w:t>
            </w:r>
          </w:p>
        </w:tc>
        <w:tc>
          <w:tcPr>
            <w:tcW w:w="5567"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387"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587"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94"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494"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83940">
        <w:tc>
          <w:tcPr>
            <w:tcW w:w="495"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567" w:type="dxa"/>
            <w:vAlign w:val="center"/>
          </w:tcPr>
          <w:p w:rsidR="00F83940" w:rsidRDefault="002A362B">
            <w:pPr>
              <w:rPr>
                <w:rFonts w:ascii="Times New Roman" w:eastAsia="仿宋_GB2312" w:hAnsi="Times New Roman" w:cs="Times New Roman"/>
                <w:sz w:val="24"/>
                <w:szCs w:val="24"/>
              </w:rPr>
            </w:pPr>
            <w:r>
              <w:rPr>
                <w:rFonts w:ascii="Times New Roman" w:eastAsia="仿宋_GB2312" w:hAnsi="Times New Roman"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3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F83940" w:rsidRDefault="00F83940">
            <w:pPr>
              <w:keepNext/>
              <w:keepLines/>
              <w:spacing w:before="340" w:after="330" w:line="578" w:lineRule="auto"/>
              <w:jc w:val="center"/>
              <w:rPr>
                <w:rFonts w:ascii="Times New Roman" w:eastAsia="仿宋_GB2312" w:hAnsi="Times New Roman" w:cs="Times New Roman"/>
                <w:sz w:val="24"/>
                <w:szCs w:val="24"/>
              </w:rPr>
            </w:pPr>
          </w:p>
        </w:tc>
        <w:tc>
          <w:tcPr>
            <w:tcW w:w="494" w:type="dxa"/>
          </w:tcPr>
          <w:p w:rsidR="00F83940" w:rsidRDefault="00F83940">
            <w:pPr>
              <w:keepNext/>
              <w:keepLines/>
              <w:spacing w:before="340" w:after="330" w:line="578" w:lineRule="auto"/>
              <w:jc w:val="center"/>
              <w:rPr>
                <w:rFonts w:ascii="Times New Roman" w:eastAsia="仿宋_GB2312" w:hAnsi="Times New Roman" w:cs="Times New Roman"/>
                <w:sz w:val="24"/>
                <w:szCs w:val="24"/>
              </w:rPr>
            </w:pPr>
          </w:p>
        </w:tc>
      </w:tr>
      <w:tr w:rsidR="00F83940">
        <w:trPr>
          <w:trHeight w:val="378"/>
        </w:trPr>
        <w:tc>
          <w:tcPr>
            <w:tcW w:w="495"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5567" w:type="dxa"/>
            <w:vAlign w:val="center"/>
          </w:tcPr>
          <w:p w:rsidR="00F83940" w:rsidRDefault="002A362B">
            <w:pPr>
              <w:rPr>
                <w:rFonts w:ascii="Times New Roman" w:eastAsia="仿宋_GB2312" w:hAnsi="Times New Roman" w:cs="Times New Roman"/>
                <w:sz w:val="24"/>
                <w:szCs w:val="24"/>
              </w:rPr>
            </w:pPr>
            <w:r>
              <w:rPr>
                <w:rFonts w:ascii="Times New Roman" w:eastAsia="仿宋_GB2312" w:hAnsi="Times New Roman" w:cs="Times New Roman"/>
                <w:sz w:val="24"/>
                <w:szCs w:val="24"/>
              </w:rPr>
              <w:t>跨国公司对主办企业开展跨境资金集中运营业务的授权书</w:t>
            </w:r>
          </w:p>
        </w:tc>
        <w:tc>
          <w:tcPr>
            <w:tcW w:w="992"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加盖跨国公司公章的</w:t>
            </w:r>
            <w:r>
              <w:rPr>
                <w:rFonts w:ascii="Times New Roman" w:eastAsia="仿宋_GB2312" w:hAnsi="Times New Roman" w:cs="Times New Roman"/>
                <w:sz w:val="24"/>
                <w:szCs w:val="24"/>
              </w:rPr>
              <w:t>原件</w:t>
            </w:r>
          </w:p>
        </w:tc>
        <w:tc>
          <w:tcPr>
            <w:tcW w:w="3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F83940" w:rsidRDefault="00F83940">
            <w:pPr>
              <w:jc w:val="center"/>
              <w:rPr>
                <w:rFonts w:ascii="Times New Roman" w:eastAsia="仿宋_GB2312" w:hAnsi="Times New Roman" w:cs="Times New Roman"/>
                <w:sz w:val="24"/>
                <w:szCs w:val="24"/>
              </w:rPr>
            </w:pPr>
          </w:p>
        </w:tc>
        <w:tc>
          <w:tcPr>
            <w:tcW w:w="494" w:type="dxa"/>
          </w:tcPr>
          <w:p w:rsidR="00F83940" w:rsidRDefault="00F83940">
            <w:pPr>
              <w:jc w:val="center"/>
              <w:rPr>
                <w:rFonts w:ascii="Times New Roman" w:eastAsia="仿宋_GB2312" w:hAnsi="Times New Roman" w:cs="Times New Roman"/>
                <w:sz w:val="24"/>
                <w:szCs w:val="24"/>
              </w:rPr>
            </w:pPr>
          </w:p>
        </w:tc>
      </w:tr>
      <w:tr w:rsidR="00F83940">
        <w:tc>
          <w:tcPr>
            <w:tcW w:w="495"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5567" w:type="dxa"/>
            <w:vAlign w:val="center"/>
          </w:tcPr>
          <w:p w:rsidR="00F83940" w:rsidRDefault="002A362B">
            <w:pPr>
              <w:rPr>
                <w:rFonts w:ascii="Times New Roman" w:eastAsia="仿宋_GB2312" w:hAnsi="Times New Roman" w:cs="Times New Roman"/>
                <w:sz w:val="24"/>
                <w:szCs w:val="24"/>
              </w:rPr>
            </w:pPr>
            <w:r>
              <w:rPr>
                <w:rFonts w:ascii="Times New Roman" w:eastAsia="仿宋_GB2312" w:hAnsi="Times New Roman" w:cs="Times New Roman"/>
                <w:sz w:val="24"/>
                <w:szCs w:val="24"/>
              </w:rPr>
              <w:t>主办企业与合作银行共同签署的《跨境资金集中运营业务办理确认书》（见附录四）</w:t>
            </w:r>
          </w:p>
        </w:tc>
        <w:tc>
          <w:tcPr>
            <w:tcW w:w="992" w:type="dxa"/>
            <w:vAlign w:val="center"/>
          </w:tcPr>
          <w:p w:rsidR="00F83940" w:rsidRDefault="002A362B">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3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F83940" w:rsidRDefault="00F83940">
            <w:pPr>
              <w:jc w:val="center"/>
              <w:rPr>
                <w:rFonts w:ascii="Times New Roman" w:eastAsia="仿宋_GB2312" w:hAnsi="Times New Roman" w:cs="Times New Roman"/>
                <w:sz w:val="24"/>
                <w:szCs w:val="24"/>
              </w:rPr>
            </w:pPr>
          </w:p>
        </w:tc>
        <w:tc>
          <w:tcPr>
            <w:tcW w:w="494" w:type="dxa"/>
          </w:tcPr>
          <w:p w:rsidR="00F83940" w:rsidRDefault="00F83940">
            <w:pPr>
              <w:jc w:val="center"/>
              <w:rPr>
                <w:rFonts w:ascii="Times New Roman" w:eastAsia="仿宋_GB2312" w:hAnsi="Times New Roman" w:cs="Times New Roman"/>
                <w:sz w:val="24"/>
                <w:szCs w:val="24"/>
              </w:rPr>
            </w:pPr>
          </w:p>
        </w:tc>
      </w:tr>
      <w:tr w:rsidR="00F83940">
        <w:tc>
          <w:tcPr>
            <w:tcW w:w="495"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5567" w:type="dxa"/>
            <w:vAlign w:val="center"/>
          </w:tcPr>
          <w:p w:rsidR="00F83940" w:rsidRDefault="002A362B">
            <w:pPr>
              <w:rPr>
                <w:rFonts w:ascii="Times New Roman" w:eastAsia="仿宋_GB2312" w:hAnsi="Times New Roman" w:cs="Times New Roman"/>
                <w:sz w:val="24"/>
                <w:szCs w:val="24"/>
              </w:rPr>
            </w:pPr>
            <w:r>
              <w:rPr>
                <w:rFonts w:ascii="Times New Roman" w:eastAsia="仿宋_GB2312" w:hAnsi="Times New Roman" w:cs="Times New Roman"/>
                <w:sz w:val="24"/>
                <w:szCs w:val="24"/>
              </w:rPr>
              <w:t>主办企业及境内成员企业营业执照复印件和货物贸易分类结果证明材料</w:t>
            </w:r>
          </w:p>
        </w:tc>
        <w:tc>
          <w:tcPr>
            <w:tcW w:w="992" w:type="dxa"/>
            <w:vAlign w:val="center"/>
          </w:tcPr>
          <w:p w:rsidR="00F83940" w:rsidRDefault="002A362B">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3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F83940" w:rsidRDefault="00F83940">
            <w:pPr>
              <w:jc w:val="center"/>
              <w:rPr>
                <w:rFonts w:ascii="Times New Roman" w:eastAsia="仿宋_GB2312" w:hAnsi="Times New Roman" w:cs="Times New Roman"/>
                <w:sz w:val="24"/>
                <w:szCs w:val="24"/>
              </w:rPr>
            </w:pPr>
          </w:p>
        </w:tc>
        <w:tc>
          <w:tcPr>
            <w:tcW w:w="494" w:type="dxa"/>
          </w:tcPr>
          <w:p w:rsidR="00F83940" w:rsidRDefault="00F83940">
            <w:pPr>
              <w:jc w:val="center"/>
              <w:rPr>
                <w:rFonts w:ascii="Times New Roman" w:eastAsia="仿宋_GB2312" w:hAnsi="Times New Roman" w:cs="Times New Roman"/>
                <w:sz w:val="24"/>
                <w:szCs w:val="24"/>
              </w:rPr>
            </w:pPr>
          </w:p>
        </w:tc>
      </w:tr>
      <w:tr w:rsidR="00F83940">
        <w:trPr>
          <w:trHeight w:val="1269"/>
        </w:trPr>
        <w:tc>
          <w:tcPr>
            <w:tcW w:w="495"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5567" w:type="dxa"/>
            <w:vAlign w:val="center"/>
          </w:tcPr>
          <w:p w:rsidR="00F83940" w:rsidRDefault="002A362B">
            <w:pPr>
              <w:rPr>
                <w:rFonts w:ascii="Times New Roman" w:eastAsia="仿宋_GB2312" w:hAnsi="Times New Roman" w:cs="Times New Roman"/>
                <w:sz w:val="24"/>
                <w:szCs w:val="24"/>
              </w:rPr>
            </w:pPr>
            <w:r>
              <w:rPr>
                <w:rFonts w:ascii="Times New Roman" w:eastAsia="仿宋_GB2312" w:hAnsi="Times New Roman" w:cs="Times New Roman"/>
                <w:sz w:val="24"/>
                <w:szCs w:val="24"/>
              </w:rPr>
              <w:t>境外成员企业注册文件（非中文的同时提供中文翻译件）</w:t>
            </w:r>
          </w:p>
        </w:tc>
        <w:tc>
          <w:tcPr>
            <w:tcW w:w="992" w:type="dxa"/>
            <w:vAlign w:val="center"/>
          </w:tcPr>
          <w:p w:rsidR="00F83940" w:rsidRDefault="002A362B">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3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F83940" w:rsidRDefault="00F83940">
            <w:pPr>
              <w:jc w:val="center"/>
              <w:rPr>
                <w:rFonts w:ascii="Times New Roman" w:eastAsia="仿宋_GB2312" w:hAnsi="Times New Roman" w:cs="Times New Roman"/>
                <w:sz w:val="24"/>
                <w:szCs w:val="24"/>
              </w:rPr>
            </w:pPr>
          </w:p>
        </w:tc>
        <w:tc>
          <w:tcPr>
            <w:tcW w:w="494" w:type="dxa"/>
          </w:tcPr>
          <w:p w:rsidR="00F83940" w:rsidRDefault="00F83940">
            <w:pPr>
              <w:jc w:val="center"/>
              <w:rPr>
                <w:rFonts w:ascii="Times New Roman" w:eastAsia="仿宋_GB2312" w:hAnsi="Times New Roman" w:cs="Times New Roman"/>
                <w:sz w:val="24"/>
                <w:szCs w:val="24"/>
              </w:rPr>
            </w:pPr>
          </w:p>
        </w:tc>
      </w:tr>
      <w:tr w:rsidR="00F83940">
        <w:trPr>
          <w:trHeight w:val="1259"/>
        </w:trPr>
        <w:tc>
          <w:tcPr>
            <w:tcW w:w="495"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5567" w:type="dxa"/>
            <w:vAlign w:val="center"/>
          </w:tcPr>
          <w:p w:rsidR="00F83940" w:rsidRDefault="002A362B">
            <w:pPr>
              <w:rPr>
                <w:rFonts w:ascii="Times New Roman" w:eastAsia="仿宋_GB2312" w:hAnsi="Times New Roman" w:cs="Times New Roman"/>
                <w:sz w:val="24"/>
                <w:szCs w:val="24"/>
              </w:rPr>
            </w:pPr>
            <w:r>
              <w:rPr>
                <w:rFonts w:ascii="Times New Roman" w:eastAsia="仿宋_GB2312" w:hAnsi="Times New Roman" w:cs="Times New Roman"/>
                <w:sz w:val="24"/>
                <w:szCs w:val="24"/>
              </w:rPr>
              <w:t>金融业务许可证及经营范围批准文件（仅主办企业为财务公司的需提供）</w:t>
            </w:r>
          </w:p>
        </w:tc>
        <w:tc>
          <w:tcPr>
            <w:tcW w:w="992" w:type="dxa"/>
            <w:vAlign w:val="center"/>
          </w:tcPr>
          <w:p w:rsidR="00F83940" w:rsidRDefault="002A362B">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3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F83940" w:rsidRDefault="00F83940">
            <w:pPr>
              <w:jc w:val="center"/>
              <w:rPr>
                <w:rFonts w:ascii="Times New Roman" w:eastAsia="仿宋_GB2312" w:hAnsi="Times New Roman" w:cs="Times New Roman"/>
                <w:sz w:val="24"/>
                <w:szCs w:val="24"/>
              </w:rPr>
            </w:pPr>
          </w:p>
        </w:tc>
        <w:tc>
          <w:tcPr>
            <w:tcW w:w="494" w:type="dxa"/>
          </w:tcPr>
          <w:p w:rsidR="00F83940" w:rsidRDefault="00F83940">
            <w:pPr>
              <w:jc w:val="center"/>
              <w:rPr>
                <w:rFonts w:ascii="Times New Roman" w:eastAsia="仿宋_GB2312" w:hAnsi="Times New Roman" w:cs="Times New Roman"/>
                <w:sz w:val="24"/>
                <w:szCs w:val="24"/>
              </w:rPr>
            </w:pPr>
          </w:p>
        </w:tc>
      </w:tr>
      <w:tr w:rsidR="00F83940">
        <w:trPr>
          <w:trHeight w:val="1259"/>
        </w:trPr>
        <w:tc>
          <w:tcPr>
            <w:tcW w:w="495"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5567" w:type="dxa"/>
            <w:vAlign w:val="center"/>
          </w:tcPr>
          <w:p w:rsidR="00F83940" w:rsidRDefault="002A362B">
            <w:pPr>
              <w:rPr>
                <w:rFonts w:ascii="Times New Roman" w:eastAsia="仿宋_GB2312" w:hAnsi="Times New Roman" w:cs="Times New Roman"/>
                <w:sz w:val="24"/>
                <w:szCs w:val="24"/>
              </w:rPr>
            </w:pPr>
            <w:r>
              <w:rPr>
                <w:rFonts w:ascii="Times New Roman" w:eastAsia="仿宋_GB2312" w:hAnsi="Times New Roman" w:cs="Times New Roman"/>
                <w:sz w:val="24"/>
                <w:szCs w:val="24"/>
              </w:rPr>
              <w:t>贡献外债额度成员企业上年度经审计的资产负债表复印件</w:t>
            </w:r>
          </w:p>
        </w:tc>
        <w:tc>
          <w:tcPr>
            <w:tcW w:w="992" w:type="dxa"/>
            <w:vAlign w:val="center"/>
          </w:tcPr>
          <w:p w:rsidR="00F83940" w:rsidRDefault="002A362B">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3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8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4" w:type="dxa"/>
            <w:vAlign w:val="center"/>
          </w:tcPr>
          <w:p w:rsidR="00F83940" w:rsidRDefault="00F83940">
            <w:pPr>
              <w:jc w:val="center"/>
              <w:rPr>
                <w:rFonts w:ascii="Times New Roman" w:eastAsia="仿宋_GB2312" w:hAnsi="Times New Roman" w:cs="Times New Roman"/>
                <w:sz w:val="24"/>
                <w:szCs w:val="24"/>
              </w:rPr>
            </w:pPr>
          </w:p>
        </w:tc>
        <w:tc>
          <w:tcPr>
            <w:tcW w:w="494" w:type="dxa"/>
          </w:tcPr>
          <w:p w:rsidR="00F83940" w:rsidRDefault="00F83940">
            <w:pPr>
              <w:jc w:val="center"/>
              <w:rPr>
                <w:rFonts w:ascii="Times New Roman" w:eastAsia="仿宋_GB2312" w:hAnsi="Times New Roman" w:cs="Times New Roman"/>
                <w:sz w:val="24"/>
                <w:szCs w:val="24"/>
              </w:rPr>
            </w:pPr>
          </w:p>
        </w:tc>
      </w:tr>
    </w:tbl>
    <w:p w:rsidR="00F83940" w:rsidRDefault="002A362B">
      <w:pPr>
        <w:tabs>
          <w:tab w:val="right" w:pos="8306"/>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集中外债额度业务变更备案</w:t>
      </w:r>
      <w:r>
        <w:rPr>
          <w:rFonts w:ascii="Times New Roman" w:eastAsia="仿宋_GB2312" w:hAnsi="Times New Roman" w:cs="Times New Roman"/>
          <w:sz w:val="30"/>
          <w:szCs w:val="30"/>
        </w:rPr>
        <w:tab/>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253"/>
        <w:gridCol w:w="992"/>
        <w:gridCol w:w="567"/>
        <w:gridCol w:w="851"/>
        <w:gridCol w:w="709"/>
        <w:gridCol w:w="708"/>
      </w:tblGrid>
      <w:tr w:rsidR="00F83940">
        <w:tc>
          <w:tcPr>
            <w:tcW w:w="533"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3"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08"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83940">
        <w:tc>
          <w:tcPr>
            <w:tcW w:w="533"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3" w:type="dxa"/>
            <w:vAlign w:val="center"/>
          </w:tcPr>
          <w:p w:rsidR="00F83940" w:rsidRDefault="002A362B">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书面申请</w:t>
            </w:r>
          </w:p>
        </w:tc>
        <w:tc>
          <w:tcPr>
            <w:tcW w:w="992" w:type="dxa"/>
            <w:vAlign w:val="center"/>
          </w:tcPr>
          <w:p w:rsidR="00F83940" w:rsidRDefault="002A362B">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F83940" w:rsidRDefault="00F83940">
            <w:pPr>
              <w:keepNext/>
              <w:keepLines/>
              <w:spacing w:before="340" w:after="330" w:line="578" w:lineRule="auto"/>
              <w:jc w:val="left"/>
              <w:rPr>
                <w:rFonts w:ascii="Times New Roman" w:eastAsia="仿宋_GB2312" w:hAnsi="Times New Roman" w:cs="Times New Roman"/>
                <w:sz w:val="24"/>
                <w:szCs w:val="24"/>
              </w:rPr>
            </w:pPr>
          </w:p>
        </w:tc>
        <w:tc>
          <w:tcPr>
            <w:tcW w:w="708" w:type="dxa"/>
            <w:vAlign w:val="center"/>
          </w:tcPr>
          <w:p w:rsidR="00F83940" w:rsidRDefault="00F83940">
            <w:pPr>
              <w:jc w:val="left"/>
              <w:rPr>
                <w:rFonts w:ascii="Times New Roman" w:eastAsia="仿宋_GB2312" w:hAnsi="Times New Roman" w:cs="Times New Roman"/>
                <w:sz w:val="24"/>
                <w:szCs w:val="24"/>
              </w:rPr>
            </w:pPr>
          </w:p>
        </w:tc>
      </w:tr>
      <w:tr w:rsidR="00F83940">
        <w:tc>
          <w:tcPr>
            <w:tcW w:w="533"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4253"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主办企业变更、成员企业新增或退出、外债和境外放款额度变更、业务种类变更的，参照备案提交材料</w:t>
            </w:r>
          </w:p>
        </w:tc>
        <w:tc>
          <w:tcPr>
            <w:tcW w:w="992" w:type="dxa"/>
            <w:vAlign w:val="center"/>
          </w:tcPr>
          <w:p w:rsidR="00F83940" w:rsidRDefault="002A362B">
            <w:pPr>
              <w:jc w:val="center"/>
              <w:rPr>
                <w:rFonts w:ascii="Times New Roman" w:hAnsi="Times New Roman" w:cs="Times New Roman"/>
              </w:rPr>
            </w:pPr>
            <w:r>
              <w:rPr>
                <w:rFonts w:ascii="Times New Roman" w:eastAsia="仿宋_GB2312" w:hAnsi="Times New Roman" w:cs="Times New Roman"/>
                <w:kern w:val="0"/>
                <w:sz w:val="24"/>
                <w:szCs w:val="24"/>
              </w:rPr>
              <w:t>/</w:t>
            </w:r>
          </w:p>
        </w:tc>
        <w:tc>
          <w:tcPr>
            <w:tcW w:w="56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851"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709" w:type="dxa"/>
            <w:vAlign w:val="center"/>
          </w:tcPr>
          <w:p w:rsidR="00F83940" w:rsidRDefault="00F83940">
            <w:pPr>
              <w:keepNext/>
              <w:keepLines/>
              <w:spacing w:before="340" w:after="330" w:line="578" w:lineRule="auto"/>
              <w:jc w:val="left"/>
              <w:rPr>
                <w:rFonts w:ascii="Times New Roman" w:eastAsia="仿宋_GB2312" w:hAnsi="Times New Roman" w:cs="Times New Roman"/>
                <w:sz w:val="24"/>
                <w:szCs w:val="24"/>
              </w:rPr>
            </w:pPr>
          </w:p>
        </w:tc>
        <w:tc>
          <w:tcPr>
            <w:tcW w:w="708" w:type="dxa"/>
            <w:vAlign w:val="center"/>
          </w:tcPr>
          <w:p w:rsidR="00F83940" w:rsidRDefault="00F83940">
            <w:pPr>
              <w:jc w:val="left"/>
              <w:rPr>
                <w:rFonts w:ascii="Times New Roman" w:eastAsia="仿宋_GB2312" w:hAnsi="Times New Roman" w:cs="Times New Roman"/>
                <w:sz w:val="24"/>
                <w:szCs w:val="24"/>
              </w:rPr>
            </w:pPr>
          </w:p>
        </w:tc>
      </w:tr>
      <w:tr w:rsidR="00F83940">
        <w:trPr>
          <w:trHeight w:val="378"/>
        </w:trPr>
        <w:tc>
          <w:tcPr>
            <w:tcW w:w="533"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3" w:type="dxa"/>
            <w:vAlign w:val="center"/>
          </w:tcPr>
          <w:p w:rsidR="00F83940" w:rsidRDefault="002A362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F83940" w:rsidRDefault="00F83940">
            <w:pPr>
              <w:jc w:val="center"/>
              <w:rPr>
                <w:rFonts w:ascii="Times New Roman" w:eastAsia="仿宋_GB2312" w:hAnsi="Times New Roman" w:cs="Times New Roman"/>
                <w:sz w:val="24"/>
                <w:szCs w:val="24"/>
              </w:rPr>
            </w:pPr>
          </w:p>
        </w:tc>
        <w:tc>
          <w:tcPr>
            <w:tcW w:w="708" w:type="dxa"/>
            <w:vAlign w:val="center"/>
          </w:tcPr>
          <w:p w:rsidR="00F83940" w:rsidRDefault="00F83940">
            <w:pPr>
              <w:jc w:val="center"/>
              <w:rPr>
                <w:rFonts w:ascii="Times New Roman" w:eastAsia="仿宋_GB2312" w:hAnsi="Times New Roman" w:cs="Times New Roman"/>
                <w:sz w:val="24"/>
                <w:szCs w:val="24"/>
              </w:rPr>
            </w:pPr>
          </w:p>
        </w:tc>
      </w:tr>
      <w:tr w:rsidR="00F83940">
        <w:trPr>
          <w:trHeight w:val="378"/>
        </w:trPr>
        <w:tc>
          <w:tcPr>
            <w:tcW w:w="533"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253"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加盖银行业务公章的原账户余额对账单（合作银行变更时提供）</w:t>
            </w:r>
          </w:p>
        </w:tc>
        <w:tc>
          <w:tcPr>
            <w:tcW w:w="992" w:type="dxa"/>
            <w:vAlign w:val="center"/>
          </w:tcPr>
          <w:p w:rsidR="00F83940" w:rsidRDefault="002A362B">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F83940" w:rsidRDefault="00F83940">
            <w:pPr>
              <w:jc w:val="left"/>
              <w:rPr>
                <w:rFonts w:ascii="Times New Roman" w:eastAsia="仿宋_GB2312" w:hAnsi="Times New Roman" w:cs="Times New Roman"/>
                <w:sz w:val="24"/>
                <w:szCs w:val="24"/>
              </w:rPr>
            </w:pPr>
          </w:p>
        </w:tc>
        <w:tc>
          <w:tcPr>
            <w:tcW w:w="708" w:type="dxa"/>
            <w:vAlign w:val="center"/>
          </w:tcPr>
          <w:p w:rsidR="00F83940" w:rsidRDefault="00F83940">
            <w:pPr>
              <w:jc w:val="left"/>
              <w:rPr>
                <w:rFonts w:ascii="Times New Roman" w:eastAsia="仿宋_GB2312" w:hAnsi="Times New Roman" w:cs="Times New Roman"/>
                <w:sz w:val="24"/>
                <w:szCs w:val="24"/>
              </w:rPr>
            </w:pPr>
          </w:p>
        </w:tc>
      </w:tr>
      <w:tr w:rsidR="00F83940">
        <w:trPr>
          <w:trHeight w:val="378"/>
        </w:trPr>
        <w:tc>
          <w:tcPr>
            <w:tcW w:w="533"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253" w:type="dxa"/>
            <w:vAlign w:val="center"/>
          </w:tcPr>
          <w:p w:rsidR="00F83940" w:rsidRDefault="002A362B">
            <w:pP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主办企业与合作银行签署的《跨境资金集中运营业务办理确认书》（合作银行变更时提供）</w:t>
            </w:r>
          </w:p>
        </w:tc>
        <w:tc>
          <w:tcPr>
            <w:tcW w:w="992"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F83940" w:rsidRDefault="00F83940">
            <w:pPr>
              <w:jc w:val="center"/>
              <w:rPr>
                <w:rFonts w:ascii="Times New Roman" w:eastAsia="仿宋_GB2312" w:hAnsi="Times New Roman" w:cs="Times New Roman"/>
                <w:sz w:val="24"/>
                <w:szCs w:val="24"/>
              </w:rPr>
            </w:pPr>
          </w:p>
        </w:tc>
        <w:tc>
          <w:tcPr>
            <w:tcW w:w="708" w:type="dxa"/>
            <w:vAlign w:val="center"/>
          </w:tcPr>
          <w:p w:rsidR="00F83940" w:rsidRDefault="00F83940">
            <w:pPr>
              <w:jc w:val="center"/>
              <w:rPr>
                <w:rFonts w:ascii="Times New Roman" w:eastAsia="仿宋_GB2312" w:hAnsi="Times New Roman" w:cs="Times New Roman"/>
                <w:sz w:val="24"/>
                <w:szCs w:val="24"/>
              </w:rPr>
            </w:pPr>
          </w:p>
        </w:tc>
      </w:tr>
    </w:tbl>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非银行债务人外债登记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外债注销登记申请材料</w:t>
      </w:r>
      <w:r>
        <w:rPr>
          <w:rFonts w:ascii="Times New Roman" w:eastAsia="仿宋_GB2312" w:hAnsi="Times New Roman" w:cs="Times New Roman"/>
          <w:sz w:val="30"/>
          <w:szCs w:val="30"/>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417"/>
        <w:gridCol w:w="992"/>
        <w:gridCol w:w="993"/>
        <w:gridCol w:w="708"/>
        <w:gridCol w:w="993"/>
      </w:tblGrid>
      <w:tr w:rsidR="00F83940">
        <w:tc>
          <w:tcPr>
            <w:tcW w:w="534"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992"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8"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993"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83940">
        <w:tc>
          <w:tcPr>
            <w:tcW w:w="534"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835"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书面申请，并附原《境内机构外债签约情况表》</w:t>
            </w:r>
          </w:p>
        </w:tc>
        <w:tc>
          <w:tcPr>
            <w:tcW w:w="1417"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992"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F83940" w:rsidRDefault="00F83940">
            <w:pPr>
              <w:keepNext/>
              <w:keepLines/>
              <w:spacing w:before="340" w:after="330" w:line="578" w:lineRule="auto"/>
              <w:jc w:val="left"/>
              <w:rPr>
                <w:rFonts w:ascii="Times New Roman" w:eastAsia="仿宋_GB2312" w:hAnsi="Times New Roman" w:cs="Times New Roman"/>
                <w:sz w:val="24"/>
                <w:szCs w:val="24"/>
              </w:rPr>
            </w:pPr>
          </w:p>
        </w:tc>
        <w:tc>
          <w:tcPr>
            <w:tcW w:w="993" w:type="dxa"/>
            <w:vAlign w:val="center"/>
          </w:tcPr>
          <w:p w:rsidR="00F83940" w:rsidRDefault="00F83940">
            <w:pPr>
              <w:jc w:val="left"/>
              <w:rPr>
                <w:rFonts w:ascii="Times New Roman" w:eastAsia="仿宋_GB2312" w:hAnsi="Times New Roman" w:cs="Times New Roman"/>
                <w:sz w:val="24"/>
                <w:szCs w:val="24"/>
              </w:rPr>
            </w:pPr>
          </w:p>
        </w:tc>
      </w:tr>
      <w:tr w:rsidR="00F83940">
        <w:tc>
          <w:tcPr>
            <w:tcW w:w="534"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835"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银行出具的相关关户证明材料（如有）</w:t>
            </w:r>
          </w:p>
        </w:tc>
        <w:tc>
          <w:tcPr>
            <w:tcW w:w="1417"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992"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F83940" w:rsidRDefault="00F83940">
            <w:pPr>
              <w:jc w:val="left"/>
              <w:rPr>
                <w:rFonts w:ascii="Times New Roman" w:eastAsia="仿宋_GB2312" w:hAnsi="Times New Roman" w:cs="Times New Roman"/>
                <w:sz w:val="24"/>
                <w:szCs w:val="24"/>
              </w:rPr>
            </w:pPr>
          </w:p>
        </w:tc>
        <w:tc>
          <w:tcPr>
            <w:tcW w:w="993"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集中外债额度业务注销</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223"/>
        <w:gridCol w:w="985"/>
        <w:gridCol w:w="563"/>
        <w:gridCol w:w="845"/>
        <w:gridCol w:w="563"/>
        <w:gridCol w:w="754"/>
      </w:tblGrid>
      <w:tr w:rsidR="00F83940">
        <w:trPr>
          <w:trHeight w:val="100"/>
        </w:trPr>
        <w:tc>
          <w:tcPr>
            <w:tcW w:w="529"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23"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85"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3"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45"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3"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4" w:type="dxa"/>
            <w:vAlign w:val="center"/>
          </w:tcPr>
          <w:p w:rsidR="00F83940" w:rsidRDefault="002A362B">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F83940">
        <w:trPr>
          <w:trHeight w:val="100"/>
        </w:trPr>
        <w:tc>
          <w:tcPr>
            <w:tcW w:w="529" w:type="dxa"/>
            <w:vAlign w:val="center"/>
          </w:tcPr>
          <w:p w:rsidR="00F83940" w:rsidRDefault="002A362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23"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注销申请（包括：跨国公司跨境资金集中运营的外债额度及境外放款额度集中、跨境收支及结售汇、国内资金主账户的关闭等相关情况）</w:t>
            </w:r>
          </w:p>
        </w:tc>
        <w:tc>
          <w:tcPr>
            <w:tcW w:w="985"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3"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5" w:type="dxa"/>
            <w:vAlign w:val="center"/>
          </w:tcPr>
          <w:p w:rsidR="00F83940" w:rsidRDefault="002A362B">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3" w:type="dxa"/>
            <w:vAlign w:val="center"/>
          </w:tcPr>
          <w:p w:rsidR="00F83940" w:rsidRDefault="00F83940">
            <w:pPr>
              <w:keepNext/>
              <w:keepLines/>
              <w:spacing w:before="340" w:after="330" w:line="578" w:lineRule="auto"/>
              <w:jc w:val="left"/>
              <w:rPr>
                <w:rFonts w:ascii="Times New Roman" w:eastAsia="仿宋_GB2312" w:hAnsi="Times New Roman" w:cs="Times New Roman"/>
                <w:sz w:val="24"/>
                <w:szCs w:val="24"/>
              </w:rPr>
            </w:pPr>
          </w:p>
        </w:tc>
        <w:tc>
          <w:tcPr>
            <w:tcW w:w="754" w:type="dxa"/>
            <w:vAlign w:val="center"/>
          </w:tcPr>
          <w:p w:rsidR="00F83940" w:rsidRDefault="00F83940">
            <w:pPr>
              <w:jc w:val="left"/>
              <w:rPr>
                <w:rFonts w:ascii="Times New Roman" w:eastAsia="仿宋_GB2312" w:hAnsi="Times New Roman" w:cs="Times New Roman"/>
                <w:sz w:val="24"/>
                <w:szCs w:val="24"/>
              </w:rPr>
            </w:pPr>
          </w:p>
        </w:tc>
      </w:tr>
    </w:tbl>
    <w:p w:rsidR="00F83940" w:rsidRDefault="00F83940">
      <w:pPr>
        <w:adjustRightInd w:val="0"/>
        <w:snapToGrid w:val="0"/>
        <w:spacing w:line="360" w:lineRule="auto"/>
        <w:ind w:firstLineChars="200" w:firstLine="600"/>
        <w:outlineLvl w:val="0"/>
        <w:rPr>
          <w:rFonts w:ascii="Times New Roman" w:eastAsia="黑体" w:hAnsi="Times New Roman" w:cs="Times New Roman"/>
          <w:sz w:val="30"/>
          <w:szCs w:val="30"/>
        </w:rPr>
      </w:pPr>
    </w:p>
    <w:p w:rsidR="00F83940" w:rsidRDefault="002A362B">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（七）申请接受</w:t>
      </w:r>
    </w:p>
    <w:p w:rsidR="00F83940" w:rsidRDefault="002A362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F83940" w:rsidRDefault="002A362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F83940" w:rsidRDefault="002A362B">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F83940" w:rsidRDefault="002A36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F83940" w:rsidRDefault="002A362B">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F83940" w:rsidRDefault="002A36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F83940" w:rsidRDefault="002A36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F83940" w:rsidRDefault="002A362B">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F83940" w:rsidRDefault="002A362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F83940" w:rsidRDefault="002A362B">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F83940" w:rsidRDefault="002A362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F83940" w:rsidRDefault="002A362B">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F83940" w:rsidRDefault="002A362B">
      <w:pPr>
        <w:adjustRightInd w:val="0"/>
        <w:snapToGrid w:val="0"/>
        <w:spacing w:line="360" w:lineRule="auto"/>
        <w:ind w:firstLineChars="200" w:firstLine="600"/>
        <w:rPr>
          <w:rFonts w:ascii="Times New Roman" w:eastAsia="黑体" w:hAnsi="Times New Roman" w:cs="Times New Roman"/>
          <w:sz w:val="30"/>
        </w:rPr>
      </w:pPr>
      <w:r>
        <w:rPr>
          <w:rFonts w:ascii="Times New Roman" w:eastAsia="仿宋_GB2312" w:hAnsi="Times New Roman" w:cs="Times New Roman"/>
          <w:sz w:val="30"/>
        </w:rPr>
        <w:t>不收费。</w:t>
      </w:r>
    </w:p>
    <w:p w:rsidR="00F83940" w:rsidRDefault="002A362B">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F83940" w:rsidRDefault="002A362B">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F83940" w:rsidRDefault="002A362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十三）结果送达</w:t>
      </w:r>
    </w:p>
    <w:p w:rsidR="00F83940" w:rsidRDefault="002A362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F83940" w:rsidRDefault="002A362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（十四）申请人权利和义务</w:t>
      </w:r>
    </w:p>
    <w:p w:rsidR="00F83940" w:rsidRDefault="002A362B">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83940" w:rsidRDefault="002A362B">
      <w:p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（十五）咨询途径、监督和投诉、办公地址和时间、公开查询方式等</w:t>
      </w:r>
      <w:bookmarkStart w:id="0" w:name="_GoBack"/>
      <w:bookmarkEnd w:id="0"/>
    </w:p>
    <w:p w:rsidR="00F83940" w:rsidRDefault="00653741">
      <w:pPr>
        <w:adjustRightInd w:val="0"/>
        <w:snapToGrid w:val="0"/>
        <w:spacing w:line="360" w:lineRule="auto"/>
        <w:ind w:firstLine="600"/>
        <w:rPr>
          <w:rFonts w:ascii="Times New Roman" w:eastAsia="仿宋_GB2312" w:hAnsi="Times New Roman" w:cs="Times New Roman"/>
          <w:sz w:val="30"/>
        </w:rPr>
      </w:pPr>
      <w:r w:rsidRPr="00653741">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653741">
        <w:rPr>
          <w:rFonts w:ascii="Times New Roman" w:eastAsia="仿宋_GB2312" w:hAnsi="Times New Roman" w:cs="Times New Roman" w:hint="eastAsia"/>
          <w:sz w:val="30"/>
          <w:szCs w:val="30"/>
        </w:rPr>
        <w:t>www.safe.gov.cn</w:t>
      </w:r>
      <w:r w:rsidRPr="00653741">
        <w:rPr>
          <w:rFonts w:ascii="Times New Roman" w:eastAsia="仿宋_GB2312" w:hAnsi="Times New Roman" w:cs="Times New Roman" w:hint="eastAsia"/>
          <w:sz w:val="30"/>
          <w:szCs w:val="30"/>
        </w:rPr>
        <w:t>链接至江苏分局“业务指南”栏目进行，也可通过栏目中公布的电话进行。</w:t>
      </w:r>
    </w:p>
    <w:p w:rsidR="00F83940" w:rsidRDefault="002A362B">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F83940" w:rsidRDefault="002A362B">
      <w:pPr>
        <w:ind w:right="300"/>
        <w:jc w:val="center"/>
        <w:rPr>
          <w:rFonts w:ascii="仿宋_GB2312" w:eastAsia="仿宋_GB2312"/>
          <w:sz w:val="30"/>
          <w:szCs w:val="30"/>
        </w:rPr>
      </w:pPr>
      <w:r>
        <w:rPr>
          <w:rFonts w:ascii="Times New Roman" w:eastAsia="黑体" w:hAnsi="Times New Roman" w:cs="Times New Roman"/>
          <w:sz w:val="30"/>
          <w:szCs w:val="30"/>
        </w:rPr>
        <w:t>基本流程图</w:t>
      </w:r>
      <w:r>
        <w:rPr>
          <w:rFonts w:ascii="仿宋_GB2312" w:eastAsia="仿宋_GB2312"/>
          <w:sz w:val="30"/>
          <w:szCs w:val="30"/>
        </w:rPr>
        <w:pict>
          <v:group id="组合 170" o:spid="_x0000_s1027" style="position:absolute;left:0;text-align:left;margin-left:-18pt;margin-top:28.25pt;width:453.65pt;height:586.05pt;z-index:3;mso-position-horizontal-relative:text;mso-position-vertical-relative:text" coordorigin="1195,3000" coordsize="9073,11721">
            <v:rect id="Rectangle 6" o:spid="_x0000_s1028" style="position:absolute;left:4255;top:11319;width:2985;height:534" o:preferrelative="t">
              <v:stroke miterlimit="2"/>
              <v:textbox>
                <w:txbxContent>
                  <w:p w:rsidR="00F83940" w:rsidRDefault="002A362B">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5767;top:13681;width:3675;height:1037" o:preferrelative="t">
              <v:stroke miterlimit="2"/>
              <v:textbox>
                <w:txbxContent>
                  <w:p w:rsidR="00F83940" w:rsidRDefault="002A362B">
                    <w:pPr>
                      <w:jc w:val="center"/>
                    </w:pPr>
                    <w:r>
                      <w:rPr>
                        <w:rFonts w:hint="eastAsia"/>
                      </w:rPr>
                      <w:t>依法作出不予许可决定，</w:t>
                    </w:r>
                  </w:p>
                  <w:p w:rsidR="00F83940" w:rsidRDefault="002A362B">
                    <w:pPr>
                      <w:jc w:val="center"/>
                    </w:pPr>
                    <w:r>
                      <w:rPr>
                        <w:rFonts w:hint="eastAsia"/>
                      </w:rPr>
                      <w:t>并送达</w:t>
                    </w:r>
                  </w:p>
                </w:txbxContent>
              </v:textbox>
            </v:shape>
            <v:shape id="AutoShape 8" o:spid="_x0000_s1030" type="#_x0000_t116" style="position:absolute;left:2042;top:13663;width:3461;height:1058" o:preferrelative="t">
              <v:stroke miterlimit="2"/>
              <v:textbox>
                <w:txbxContent>
                  <w:p w:rsidR="00F83940" w:rsidRDefault="002A362B">
                    <w:pPr>
                      <w:jc w:val="center"/>
                    </w:pPr>
                    <w:r>
                      <w:rPr>
                        <w:rFonts w:hint="eastAsia"/>
                      </w:rPr>
                      <w:t>依法予以许可，出具相关</w:t>
                    </w:r>
                  </w:p>
                  <w:p w:rsidR="00F83940" w:rsidRDefault="002A362B">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1" type="#_x0000_t32" style="position:absolute;left:5729;top:10693;width:1;height:626" o:connectortype="straight" o:preferrelative="t">
              <v:stroke endarrow="block" miterlimit="2"/>
            </v:shape>
            <v:shape id="AutoShape 10" o:spid="_x0000_s1032" type="#_x0000_t32" style="position:absolute;left:7678;top:12568;width:17;height:1095" o:connectortype="straight" o:preferrelative="t">
              <v:stroke endarrow="block" miterlimit="2"/>
            </v:shape>
            <v:shape id="AutoShape 11" o:spid="_x0000_s1033" type="#_x0000_t32" style="position:absolute;left:3705;top:12568;width:1;height:1035" o:connectortype="straight" o:preferrelative="t">
              <v:stroke endarrow="block" miterlimit="2"/>
            </v:shape>
            <v:shape id="AutoShape 12" o:spid="_x0000_s1034" type="#_x0000_t32" style="position:absolute;left:5730;top:11853;width:1;height:715" o:connectortype="straight" o:preferrelative="t">
              <v:stroke miterlimit="2"/>
            </v:shape>
            <v:shape id="AutoShape 13" o:spid="_x0000_s1035" type="#_x0000_t32" style="position:absolute;left:3706;top:12568;width:3972;height:0" o:connectortype="straight" o:preferrelative="t">
              <v:stroke miterlimit="2"/>
            </v:shape>
            <v:group id="Group 14" o:spid="_x0000_s1036" style="position:absolute;left:1195;top:3000;width:9073;height:7693" coordorigin="1195,3000" coordsize="9073,7693">
              <v:shape id="AutoShape 15" o:spid="_x0000_s1037" type="#_x0000_t32" style="position:absolute;left:7240;top:9566;width:0;height:608" o:connectortype="straight" o:preferrelative="t">
                <v:stroke endarrow="block" miterlimit="2"/>
              </v:shape>
              <v:group id="Group 16" o:spid="_x0000_s1038"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9" type="#_x0000_t34" style="position:absolute;left:7714;top:6155;width:3823;height:1285;rotation:270" o:connectortype="elbow" o:preferrelative="t" adj="33">
                  <v:stroke miterlimit="2"/>
                </v:shape>
                <v:shapetype id="_x0000_t202" coordsize="21600,21600" o:spt="202" path="m,l,21600r21600,l21600,xe">
                  <v:stroke joinstyle="miter"/>
                  <v:path gradientshapeok="t" o:connecttype="rect"/>
                </v:shapetype>
                <v:shape id="Text Box 18" o:spid="_x0000_s1040" type="#_x0000_t202" style="position:absolute;left:9343;top:5297;width:754;height:2553" o:preferrelative="t" strokecolor="white">
                  <v:stroke miterlimit="2"/>
                  <v:textbox>
                    <w:txbxContent>
                      <w:p w:rsidR="00F83940" w:rsidRDefault="002A362B">
                        <w:pPr>
                          <w:jc w:val="center"/>
                        </w:pPr>
                        <w:r>
                          <w:rPr>
                            <w:rFonts w:hint="eastAsia"/>
                          </w:rPr>
                          <w:t>不能提供符合受理要求的材料</w:t>
                        </w:r>
                      </w:p>
                    </w:txbxContent>
                  </v:textbox>
                </v:shape>
                <v:shape id="AutoShape 19" o:spid="_x0000_s1041" type="#_x0000_t32" style="position:absolute;left:7240;top:7472;width:0;height:378" o:connectortype="straight" o:preferrelative="t">
                  <v:stroke endarrow="block" miterlimit="2"/>
                </v:shape>
                <v:shape id="Text Box 20" o:spid="_x0000_s1042" type="#_x0000_t202" style="position:absolute;left:3915;top:9566;width:2737;height:477" o:preferrelative="t" strokecolor="white">
                  <v:stroke miterlimit="2"/>
                  <v:textbox>
                    <w:txbxContent>
                      <w:p w:rsidR="00F83940" w:rsidRDefault="002A362B">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3" type="#_x0000_t4" style="position:absolute;left:5346;top:7833;width:3637;height:1733" o:preferrelative="t">
                  <v:stroke miterlimit="2"/>
                  <v:textbox>
                    <w:txbxContent>
                      <w:p w:rsidR="00F83940" w:rsidRDefault="002A362B">
                        <w:r>
                          <w:rPr>
                            <w:rFonts w:hint="eastAsia"/>
                          </w:rPr>
                          <w:t>申请人补充材料</w:t>
                        </w:r>
                      </w:p>
                    </w:txbxContent>
                  </v:textbox>
                </v:shape>
                <v:rect id="Rectangle 22" o:spid="_x0000_s1044" style="position:absolute;left:3915;top:10174;width:4816;height:519" o:preferrelative="t">
                  <v:stroke miterlimit="2"/>
                  <v:textbox>
                    <w:txbxContent>
                      <w:p w:rsidR="00F83940" w:rsidRDefault="002A362B">
                        <w:pPr>
                          <w:jc w:val="center"/>
                        </w:pPr>
                        <w:r>
                          <w:rPr>
                            <w:rFonts w:hint="eastAsia"/>
                          </w:rPr>
                          <w:t>依法应予受理，出具行政审批受理单</w:t>
                        </w:r>
                      </w:p>
                      <w:p w:rsidR="00F83940" w:rsidRDefault="00F83940">
                        <w:pPr>
                          <w:jc w:val="center"/>
                        </w:pPr>
                      </w:p>
                    </w:txbxContent>
                  </v:textbox>
                </v:rect>
                <v:rect id="Rectangle 23" o:spid="_x0000_s1045" style="position:absolute;left:5913;top:6341;width:3190;height:1114" o:preferrelative="t">
                  <v:stroke miterlimit="2"/>
                  <v:textbox>
                    <w:txbxContent>
                      <w:p w:rsidR="00F83940" w:rsidRDefault="002A362B">
                        <w:pPr>
                          <w:jc w:val="center"/>
                        </w:pPr>
                        <w:r>
                          <w:rPr>
                            <w:rFonts w:hint="eastAsia"/>
                          </w:rPr>
                          <w:t>材料不全或不符合法定形式的，一次性告知补正材料，</w:t>
                        </w:r>
                      </w:p>
                      <w:p w:rsidR="00F83940" w:rsidRDefault="002A362B">
                        <w:pPr>
                          <w:jc w:val="center"/>
                        </w:pPr>
                        <w:r>
                          <w:rPr>
                            <w:rFonts w:hint="eastAsia"/>
                          </w:rPr>
                          <w:t>出具行政审批补正材料通知书</w:t>
                        </w:r>
                      </w:p>
                      <w:p w:rsidR="00F83940" w:rsidRDefault="00F83940"/>
                    </w:txbxContent>
                  </v:textbox>
                </v:rect>
                <v:shape id="AutoShape 24" o:spid="_x0000_s1046" type="#_x0000_t116" style="position:absolute;left:5913;top:4050;width:2922;height:1710" o:preferrelative="t">
                  <v:stroke miterlimit="2"/>
                  <v:textbox>
                    <w:txbxContent>
                      <w:p w:rsidR="00F83940" w:rsidRDefault="002A362B">
                        <w:pPr>
                          <w:jc w:val="center"/>
                        </w:pPr>
                        <w:r>
                          <w:rPr>
                            <w:rFonts w:hint="eastAsia"/>
                          </w:rPr>
                          <w:t>依法不予受理的，作出不予受理决定，出具不予受理行政审批申请通知书</w:t>
                        </w:r>
                      </w:p>
                      <w:p w:rsidR="00F83940" w:rsidRDefault="00F83940">
                        <w:pPr>
                          <w:jc w:val="center"/>
                        </w:pPr>
                      </w:p>
                    </w:txbxContent>
                  </v:textbox>
                </v:shape>
                <v:group id="Group 25" o:spid="_x0000_s1047" style="position:absolute;left:1195;top:3000;width:4746;height:7424" coordorigin="1195,3000" coordsize="4746,7424">
                  <v:shape id="AutoShape 26" o:spid="_x0000_s1048" type="#_x0000_t32" style="position:absolute;left:5010;top:6910;width:931;height:0" o:connectortype="straight" o:preferrelative="t">
                    <v:stroke endarrow="block" miterlimit="2"/>
                  </v:shape>
                  <v:shape id="AutoShape 27" o:spid="_x0000_s1049" type="#_x0000_t32" style="position:absolute;left:2702;top:6986;width:1;height:3437" o:connectortype="straight" o:preferrelative="t">
                    <v:stroke miterlimit="2"/>
                  </v:shape>
                  <v:group id="Group 28" o:spid="_x0000_s1050" style="position:absolute;left:1195;top:3000;width:3781;height:4066" coordorigin="1195,3000" coordsize="3781,4066">
                    <v:shape id="AutoShape 29" o:spid="_x0000_s1051" type="#_x0000_t32" style="position:absolute;left:2743;top:4172;width:1;height:764" o:connectortype="straight" o:preferrelative="t">
                      <v:stroke endarrow="block" miterlimit="2"/>
                    </v:shape>
                    <v:shape id="AutoShape 30" o:spid="_x0000_s1052" type="#_x0000_t32" style="position:absolute;left:4188;top:5967;width:788;height:26;flip:y" o:connectortype="straight" o:preferrelative="t">
                      <v:stroke miterlimit="2"/>
                    </v:shape>
                    <v:shape id="AutoShape 31" o:spid="_x0000_s1053" type="#_x0000_t4" style="position:absolute;left:1195;top:4919;width:2993;height:2147" o:preferrelative="t">
                      <v:stroke miterlimit="2"/>
                      <v:textbox>
                        <w:txbxContent>
                          <w:p w:rsidR="00F83940" w:rsidRDefault="002A362B">
                            <w:r>
                              <w:rPr>
                                <w:rFonts w:hint="eastAsia"/>
                              </w:rPr>
                              <w:t>接件（</w:t>
                            </w:r>
                            <w:r>
                              <w:t>5</w:t>
                            </w:r>
                            <w:r>
                              <w:rPr>
                                <w:rFonts w:hint="eastAsia"/>
                              </w:rPr>
                              <w:t>个工作日）作出是否受理决定</w:t>
                            </w:r>
                          </w:p>
                          <w:p w:rsidR="00F83940" w:rsidRDefault="00F83940"/>
                        </w:txbxContent>
                      </v:textbox>
                    </v:shape>
                    <v:shape id="AutoShape 32" o:spid="_x0000_s1054" type="#_x0000_t116" style="position:absolute;left:1531;top:3000;width:2724;height:1172" o:preferrelative="t">
                      <v:stroke miterlimit="2"/>
                      <v:textbox>
                        <w:txbxContent>
                          <w:p w:rsidR="00F83940" w:rsidRDefault="002A362B">
                            <w:pPr>
                              <w:jc w:val="center"/>
                            </w:pPr>
                            <w:r>
                              <w:rPr>
                                <w:rFonts w:hint="eastAsia"/>
                              </w:rPr>
                              <w:t>申请人提出书面申请，并提交材料</w:t>
                            </w:r>
                          </w:p>
                        </w:txbxContent>
                      </v:textbox>
                    </v:shape>
                  </v:group>
                  <v:shape id="AutoShape 33" o:spid="_x0000_s1055" type="#_x0000_t32" style="position:absolute;left:2702;top:10423;width:1213;height:1" o:connectortype="straight" o:preferrelative="t">
                    <v:stroke endarrow="block" miterlimit="2"/>
                  </v:shape>
                  <v:shape id="AutoShape 34" o:spid="_x0000_s1056" type="#_x0000_t32" style="position:absolute;left:5010;top:4999;width:0;height:1921" o:connectortype="straight" o:preferrelative="t">
                    <v:stroke miterlimit="2"/>
                  </v:shape>
                  <v:shape id="AutoShape 35" o:spid="_x0000_s1057" type="#_x0000_t32" style="position:absolute;left:5010;top:4989;width:903;height:1" o:connectortype="straight" o:preferrelative="t">
                    <v:stroke endarrow="block" miterlimit="2"/>
                  </v:shape>
                  <v:shape id="Text Box 36" o:spid="_x0000_s1058" type="#_x0000_t202" style="position:absolute;left:1944;top:8280;width:508;height:1152" o:preferrelative="t" strokecolor="white">
                    <v:stroke miterlimit="2"/>
                    <v:textbox>
                      <w:txbxContent>
                        <w:p w:rsidR="00F83940" w:rsidRDefault="002A362B">
                          <w:r>
                            <w:rPr>
                              <w:rFonts w:hint="eastAsia"/>
                            </w:rPr>
                            <w:t>是</w:t>
                          </w:r>
                        </w:p>
                      </w:txbxContent>
                    </v:textbox>
                  </v:shape>
                  <v:shape id="Text Box 37" o:spid="_x0000_s1059" type="#_x0000_t202" style="position:absolute;left:4146;top:5220;width:508;height:471" o:preferrelative="t" strokecolor="white">
                    <v:stroke miterlimit="2"/>
                    <v:textbox style="mso-fit-shape-to-text:t">
                      <w:txbxContent>
                        <w:p w:rsidR="00F83940" w:rsidRDefault="002A362B">
                          <w:r>
                            <w:rPr>
                              <w:rFonts w:hint="eastAsia"/>
                            </w:rPr>
                            <w:t>否</w:t>
                          </w:r>
                        </w:p>
                      </w:txbxContent>
                    </v:textbox>
                  </v:shape>
                </v:group>
                <v:shape id="AutoShape 38" o:spid="_x0000_s1060" type="#_x0000_t32" style="position:absolute;left:8927;top:4886;width:1341;height:0;flip:x" o:connectortype="straight" o:preferrelative="t">
                  <v:stroke endarrow="block" miterlimit="2"/>
                </v:shape>
              </v:group>
            </v:group>
          </v:group>
        </w:pict>
      </w:r>
    </w:p>
    <w:p w:rsidR="00F83940" w:rsidRDefault="00F83940">
      <w:pPr>
        <w:ind w:right="300"/>
        <w:jc w:val="center"/>
        <w:rPr>
          <w:rFonts w:ascii="仿宋_GB2312" w:eastAsia="仿宋_GB2312"/>
          <w:sz w:val="30"/>
          <w:szCs w:val="30"/>
        </w:rPr>
      </w:pPr>
    </w:p>
    <w:p w:rsidR="00F83940" w:rsidRDefault="00F83940">
      <w:pPr>
        <w:ind w:right="300"/>
        <w:jc w:val="center"/>
        <w:rPr>
          <w:rFonts w:ascii="仿宋_GB2312" w:eastAsia="仿宋_GB2312"/>
          <w:sz w:val="30"/>
          <w:szCs w:val="30"/>
        </w:rPr>
      </w:pPr>
    </w:p>
    <w:p w:rsidR="00F83940" w:rsidRDefault="00F83940">
      <w:pPr>
        <w:ind w:right="300"/>
        <w:jc w:val="center"/>
        <w:rPr>
          <w:rFonts w:ascii="仿宋_GB2312" w:eastAsia="仿宋_GB2312"/>
          <w:sz w:val="30"/>
          <w:szCs w:val="30"/>
        </w:rPr>
      </w:pPr>
    </w:p>
    <w:p w:rsidR="00F83940" w:rsidRDefault="00F83940">
      <w:pPr>
        <w:ind w:right="300"/>
        <w:jc w:val="left"/>
        <w:rPr>
          <w:rFonts w:ascii="仿宋_GB2312" w:eastAsia="仿宋_GB2312"/>
          <w:sz w:val="30"/>
          <w:szCs w:val="30"/>
        </w:rPr>
      </w:pPr>
    </w:p>
    <w:p w:rsidR="00F83940" w:rsidRDefault="002A362B">
      <w:pPr>
        <w:tabs>
          <w:tab w:val="center" w:pos="4363"/>
        </w:tabs>
        <w:ind w:firstLineChars="200" w:firstLine="600"/>
        <w:rPr>
          <w:rFonts w:ascii="仿宋_GB2312" w:eastAsia="仿宋_GB2312"/>
          <w:sz w:val="30"/>
          <w:szCs w:val="30"/>
        </w:rPr>
      </w:pPr>
      <w:r>
        <w:rPr>
          <w:rFonts w:ascii="仿宋_GB2312" w:eastAsia="仿宋_GB2312"/>
          <w:sz w:val="30"/>
          <w:szCs w:val="30"/>
        </w:rPr>
        <w:tab/>
      </w:r>
    </w:p>
    <w:p w:rsidR="00F83940" w:rsidRDefault="00F83940">
      <w:pPr>
        <w:ind w:firstLine="420"/>
      </w:pPr>
    </w:p>
    <w:p w:rsidR="00F83940" w:rsidRDefault="00F83940">
      <w:pPr>
        <w:widowControl/>
        <w:jc w:val="left"/>
        <w:rPr>
          <w:rFonts w:ascii="仿宋_GB2312" w:eastAsia="仿宋_GB2312"/>
          <w:sz w:val="30"/>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30"/>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30"/>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30"/>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F83940">
      <w:pPr>
        <w:widowControl/>
        <w:adjustRightInd w:val="0"/>
        <w:snapToGrid w:val="0"/>
        <w:spacing w:line="200" w:lineRule="atLeast"/>
        <w:jc w:val="left"/>
        <w:rPr>
          <w:rFonts w:ascii="Times New Roman" w:eastAsia="仿宋_GB2312" w:hAnsi="Times New Roman" w:cs="Times New Roman"/>
          <w:kern w:val="0"/>
          <w:sz w:val="28"/>
          <w:szCs w:val="30"/>
        </w:rPr>
      </w:pPr>
    </w:p>
    <w:p w:rsidR="00F83940" w:rsidRDefault="002A362B">
      <w:pPr>
        <w:widowControl/>
        <w:adjustRightInd w:val="0"/>
        <w:snapToGrid w:val="0"/>
        <w:spacing w:line="200" w:lineRule="atLeast"/>
        <w:jc w:val="left"/>
        <w:rPr>
          <w:rFonts w:ascii="Times New Roman" w:eastAsia="仿宋_GB2312" w:hAnsi="Times New Roman" w:cs="Times New Roman"/>
          <w:kern w:val="0"/>
          <w:sz w:val="28"/>
          <w:szCs w:val="30"/>
        </w:rPr>
      </w:pPr>
      <w:r>
        <w:rPr>
          <w:rFonts w:ascii="Times New Roman" w:eastAsia="仿宋_GB2312" w:hAnsi="Times New Roman" w:cs="Times New Roman"/>
          <w:kern w:val="0"/>
          <w:sz w:val="28"/>
          <w:szCs w:val="30"/>
        </w:rPr>
        <w:lastRenderedPageBreak/>
        <w:t>附录二</w:t>
      </w:r>
      <w:bookmarkStart w:id="1" w:name="_Toc487492193"/>
      <w:bookmarkStart w:id="2" w:name="_Toc495992552"/>
      <w:bookmarkStart w:id="3" w:name="_Toc492328435"/>
      <w:bookmarkStart w:id="4" w:name="_Toc485028274"/>
    </w:p>
    <w:p w:rsidR="00F83940" w:rsidRDefault="002A362B">
      <w:pPr>
        <w:widowControl/>
        <w:adjustRightInd w:val="0"/>
        <w:snapToGrid w:val="0"/>
        <w:spacing w:line="240" w:lineRule="atLeast"/>
        <w:jc w:val="center"/>
        <w:rPr>
          <w:rFonts w:ascii="Times New Roman" w:hAnsi="Times New Roman" w:cs="Times New Roman"/>
          <w:sz w:val="28"/>
          <w:szCs w:val="28"/>
        </w:rPr>
      </w:pPr>
      <w:r>
        <w:rPr>
          <w:rFonts w:ascii="Times New Roman" w:eastAsia="黑体" w:hAnsi="Times New Roman" w:cs="Times New Roman"/>
          <w:sz w:val="30"/>
          <w:szCs w:val="30"/>
        </w:rPr>
        <w:t>非银行债务人外债签约（变更）登记（</w:t>
      </w:r>
      <w:r>
        <w:rPr>
          <w:rFonts w:ascii="Times New Roman" w:hAnsi="Times New Roman" w:cs="Times New Roman"/>
          <w:b/>
          <w:bCs/>
          <w:sz w:val="28"/>
          <w:szCs w:val="28"/>
        </w:rPr>
        <w:t>示范文本）</w:t>
      </w:r>
    </w:p>
    <w:p w:rsidR="00F83940" w:rsidRDefault="002A362B">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1"/>
      <w:bookmarkEnd w:id="2"/>
      <w:bookmarkEnd w:id="3"/>
      <w:bookmarkEnd w:id="4"/>
    </w:p>
    <w:p w:rsidR="00F83940" w:rsidRDefault="002A362B">
      <w:pPr>
        <w:ind w:firstLineChars="1450" w:firstLine="3045"/>
        <w:rPr>
          <w:rFonts w:ascii="Times New Roman" w:hAnsi="Times New Roman" w:cs="Times New Roman"/>
        </w:rPr>
      </w:pPr>
      <w:bookmarkStart w:id="5" w:name="_Toc485028275"/>
      <w:r>
        <w:rPr>
          <w:rFonts w:ascii="Times New Roman" w:cs="Times New Roman" w:hint="eastAsia"/>
        </w:rPr>
        <w:t xml:space="preserve">                             </w:t>
      </w:r>
      <w:r>
        <w:rPr>
          <w:rFonts w:ascii="Times New Roman" w:cs="Times New Roman"/>
        </w:rPr>
        <w:t>单位</w:t>
      </w:r>
      <w:r>
        <w:rPr>
          <w:rStyle w:val="ab"/>
        </w:rPr>
        <w:footnoteReference w:id="1"/>
      </w:r>
      <w:r>
        <w:rPr>
          <w:rFonts w:ascii="Times New Roman" w:cs="Times New Roman"/>
        </w:rPr>
        <w:t>：万元人民币</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09"/>
        <w:gridCol w:w="1673"/>
        <w:gridCol w:w="1461"/>
        <w:gridCol w:w="268"/>
        <w:gridCol w:w="1592"/>
        <w:gridCol w:w="47"/>
        <w:gridCol w:w="23"/>
        <w:gridCol w:w="1790"/>
      </w:tblGrid>
      <w:tr w:rsidR="00F83940">
        <w:trPr>
          <w:cantSplit/>
          <w:trHeight w:val="454"/>
        </w:trPr>
        <w:tc>
          <w:tcPr>
            <w:tcW w:w="959" w:type="dxa"/>
            <w:vMerge w:val="restart"/>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rsidR="00F83940">
        <w:trPr>
          <w:cantSplit/>
          <w:trHeight w:val="454"/>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2382"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hint="eastAsia"/>
                <w:sz w:val="24"/>
              </w:rPr>
              <w:t xml:space="preserve"> </w:t>
            </w:r>
          </w:p>
        </w:tc>
        <w:tc>
          <w:tcPr>
            <w:tcW w:w="1860"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ab"/>
                <w:sz w:val="24"/>
              </w:rPr>
              <w:footnoteReference w:id="2"/>
            </w:r>
          </w:p>
        </w:tc>
        <w:tc>
          <w:tcPr>
            <w:tcW w:w="1860" w:type="dxa"/>
            <w:gridSpan w:val="3"/>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中资企业</w:t>
            </w:r>
          </w:p>
        </w:tc>
      </w:tr>
      <w:tr w:rsidR="00F83940">
        <w:trPr>
          <w:cantSplit/>
          <w:trHeight w:val="454"/>
        </w:trPr>
        <w:tc>
          <w:tcPr>
            <w:tcW w:w="959" w:type="dxa"/>
            <w:vMerge w:val="restart"/>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净资产</w:t>
            </w:r>
            <w:r>
              <w:rPr>
                <w:rStyle w:val="ab"/>
                <w:sz w:val="24"/>
              </w:rPr>
              <w:footnoteReference w:id="3"/>
            </w:r>
          </w:p>
        </w:tc>
        <w:tc>
          <w:tcPr>
            <w:tcW w:w="5181" w:type="dxa"/>
            <w:gridSpan w:val="6"/>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hint="eastAsia"/>
                <w:sz w:val="24"/>
              </w:rPr>
              <w:t xml:space="preserve"> </w:t>
            </w:r>
          </w:p>
        </w:tc>
      </w:tr>
      <w:tr w:rsidR="00F83940">
        <w:trPr>
          <w:cantSplit/>
          <w:trHeight w:val="454"/>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2382"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风险加权余额</w:t>
            </w:r>
          </w:p>
          <w:p w:rsidR="00F83940" w:rsidRDefault="002A362B">
            <w:pPr>
              <w:spacing w:line="320" w:lineRule="exact"/>
              <w:jc w:val="center"/>
              <w:rPr>
                <w:rFonts w:ascii="Times New Roman" w:hAnsi="Times New Roman" w:cs="Times New Roman"/>
                <w:sz w:val="24"/>
              </w:rPr>
            </w:pPr>
            <w:r>
              <w:rPr>
                <w:rFonts w:ascii="Times New Roman" w:hAnsi="宋体" w:cs="Times New Roman"/>
                <w:sz w:val="24"/>
              </w:rPr>
              <w:t>上限</w:t>
            </w:r>
            <w:r>
              <w:rPr>
                <w:rStyle w:val="ab"/>
                <w:sz w:val="24"/>
              </w:rPr>
              <w:footnoteReference w:id="4"/>
            </w:r>
          </w:p>
        </w:tc>
        <w:tc>
          <w:tcPr>
            <w:tcW w:w="5181" w:type="dxa"/>
            <w:gridSpan w:val="6"/>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hint="eastAsia"/>
                <w:sz w:val="24"/>
              </w:rPr>
              <w:t xml:space="preserve"> </w:t>
            </w:r>
          </w:p>
        </w:tc>
      </w:tr>
      <w:tr w:rsidR="00F83940">
        <w:trPr>
          <w:cantSplit/>
          <w:trHeight w:val="454"/>
        </w:trPr>
        <w:tc>
          <w:tcPr>
            <w:tcW w:w="959" w:type="dxa"/>
            <w:vMerge w:val="restart"/>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sz="4" w:space="0" w:color="auto"/>
            </w:tcBorders>
            <w:vAlign w:val="center"/>
          </w:tcPr>
          <w:p w:rsidR="00F83940" w:rsidRDefault="00F83940">
            <w:pPr>
              <w:spacing w:line="320" w:lineRule="exact"/>
              <w:jc w:val="center"/>
              <w:rPr>
                <w:rFonts w:ascii="Times New Roman" w:hAnsi="Times New Roman" w:cs="Times New Roman"/>
                <w:sz w:val="24"/>
              </w:rPr>
            </w:pPr>
          </w:p>
        </w:tc>
        <w:tc>
          <w:tcPr>
            <w:tcW w:w="1729" w:type="dxa"/>
            <w:gridSpan w:val="2"/>
            <w:vAlign w:val="center"/>
          </w:tcPr>
          <w:p w:rsidR="00F83940" w:rsidRDefault="002A362B">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rsidR="00F83940" w:rsidRDefault="002A362B">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rsidR="00F83940" w:rsidRDefault="002A362B">
            <w:pPr>
              <w:jc w:val="center"/>
              <w:rPr>
                <w:rFonts w:ascii="Times New Roman" w:hAnsi="Times New Roman" w:cs="Times New Roman"/>
              </w:rPr>
            </w:pPr>
            <w:r>
              <w:rPr>
                <w:rFonts w:ascii="Times New Roman" w:hAnsi="宋体" w:cs="Times New Roman"/>
                <w:sz w:val="24"/>
              </w:rPr>
              <w:t>外币</w:t>
            </w:r>
          </w:p>
        </w:tc>
      </w:tr>
      <w:tr w:rsidR="00F83940">
        <w:trPr>
          <w:cantSplit/>
          <w:trHeight w:val="294"/>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2382"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hint="eastAsia"/>
                <w:sz w:val="24"/>
              </w:rPr>
              <w:t xml:space="preserve"> </w:t>
            </w:r>
          </w:p>
        </w:tc>
        <w:tc>
          <w:tcPr>
            <w:tcW w:w="1662" w:type="dxa"/>
            <w:gridSpan w:val="3"/>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15</w:t>
            </w:r>
          </w:p>
        </w:tc>
      </w:tr>
      <w:tr w:rsidR="00F83940">
        <w:trPr>
          <w:cantSplit/>
          <w:trHeight w:val="361"/>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2382"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hint="eastAsia"/>
                <w:sz w:val="24"/>
              </w:rPr>
              <w:t xml:space="preserve"> </w:t>
            </w:r>
          </w:p>
        </w:tc>
        <w:tc>
          <w:tcPr>
            <w:tcW w:w="1662" w:type="dxa"/>
            <w:gridSpan w:val="3"/>
            <w:vAlign w:val="center"/>
          </w:tcPr>
          <w:p w:rsidR="00F83940" w:rsidRDefault="00F83940">
            <w:pPr>
              <w:spacing w:line="320" w:lineRule="exact"/>
              <w:jc w:val="center"/>
              <w:rPr>
                <w:rFonts w:ascii="Times New Roman" w:hAnsi="Times New Roman" w:cs="Times New Roman"/>
                <w:sz w:val="24"/>
              </w:rPr>
            </w:pPr>
          </w:p>
        </w:tc>
        <w:tc>
          <w:tcPr>
            <w:tcW w:w="1790" w:type="dxa"/>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10</w:t>
            </w:r>
          </w:p>
        </w:tc>
      </w:tr>
      <w:tr w:rsidR="00F83940">
        <w:trPr>
          <w:cantSplit/>
          <w:trHeight w:val="454"/>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709" w:type="dxa"/>
            <w:vMerge w:val="restart"/>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sz="4" w:space="0" w:color="auto"/>
            </w:tcBorders>
            <w:vAlign w:val="center"/>
          </w:tcPr>
          <w:p w:rsidR="00F83940" w:rsidRDefault="00F83940">
            <w:pPr>
              <w:spacing w:line="320" w:lineRule="exact"/>
              <w:jc w:val="center"/>
              <w:rPr>
                <w:rFonts w:ascii="Times New Roman" w:hAnsi="Times New Roman" w:cs="Times New Roman"/>
                <w:sz w:val="24"/>
              </w:rPr>
            </w:pPr>
          </w:p>
        </w:tc>
        <w:tc>
          <w:tcPr>
            <w:tcW w:w="1729" w:type="dxa"/>
            <w:gridSpan w:val="2"/>
            <w:vAlign w:val="center"/>
          </w:tcPr>
          <w:p w:rsidR="00F83940" w:rsidRDefault="002A362B">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rsidR="00F83940" w:rsidRDefault="002A362B">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rsidR="00F83940" w:rsidRDefault="002A362B">
            <w:pPr>
              <w:jc w:val="center"/>
              <w:rPr>
                <w:rFonts w:ascii="Times New Roman" w:hAnsi="Times New Roman" w:cs="Times New Roman"/>
              </w:rPr>
            </w:pPr>
            <w:r>
              <w:rPr>
                <w:rFonts w:ascii="Times New Roman" w:hAnsi="宋体" w:cs="Times New Roman"/>
                <w:sz w:val="24"/>
              </w:rPr>
              <w:t>外币余额</w:t>
            </w:r>
          </w:p>
        </w:tc>
      </w:tr>
      <w:tr w:rsidR="00F83940">
        <w:trPr>
          <w:cantSplit/>
          <w:trHeight w:val="454"/>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709" w:type="dxa"/>
            <w:vMerge/>
            <w:vAlign w:val="center"/>
          </w:tcPr>
          <w:p w:rsidR="00F83940" w:rsidRDefault="00F83940">
            <w:pPr>
              <w:spacing w:line="320" w:lineRule="exact"/>
              <w:jc w:val="center"/>
              <w:rPr>
                <w:rFonts w:ascii="Times New Roman" w:hAnsi="Times New Roman" w:cs="Times New Roman"/>
                <w:sz w:val="24"/>
              </w:rPr>
            </w:pPr>
          </w:p>
        </w:tc>
        <w:tc>
          <w:tcPr>
            <w:tcW w:w="1673" w:type="dxa"/>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rsidR="00F83940" w:rsidRDefault="00F83940">
            <w:pPr>
              <w:spacing w:line="320" w:lineRule="exact"/>
              <w:jc w:val="center"/>
              <w:rPr>
                <w:rFonts w:ascii="Times New Roman" w:hAnsi="Times New Roman" w:cs="Times New Roman"/>
                <w:sz w:val="24"/>
              </w:rPr>
            </w:pPr>
          </w:p>
        </w:tc>
        <w:tc>
          <w:tcPr>
            <w:tcW w:w="1662" w:type="dxa"/>
            <w:gridSpan w:val="3"/>
            <w:vAlign w:val="center"/>
          </w:tcPr>
          <w:p w:rsidR="00F83940" w:rsidRDefault="00F83940">
            <w:pPr>
              <w:spacing w:line="320" w:lineRule="exact"/>
              <w:jc w:val="center"/>
              <w:rPr>
                <w:rFonts w:ascii="Times New Roman" w:hAnsi="Times New Roman" w:cs="Times New Roman"/>
                <w:sz w:val="24"/>
              </w:rPr>
            </w:pPr>
          </w:p>
        </w:tc>
        <w:tc>
          <w:tcPr>
            <w:tcW w:w="1790" w:type="dxa"/>
            <w:vAlign w:val="center"/>
          </w:tcPr>
          <w:p w:rsidR="00F83940" w:rsidRDefault="00F83940">
            <w:pPr>
              <w:spacing w:line="320" w:lineRule="exact"/>
              <w:jc w:val="center"/>
              <w:rPr>
                <w:rFonts w:ascii="Times New Roman" w:hAnsi="Times New Roman" w:cs="Times New Roman"/>
                <w:sz w:val="24"/>
              </w:rPr>
            </w:pPr>
          </w:p>
        </w:tc>
      </w:tr>
      <w:tr w:rsidR="00F83940">
        <w:trPr>
          <w:cantSplit/>
          <w:trHeight w:val="454"/>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709" w:type="dxa"/>
            <w:vMerge/>
            <w:vAlign w:val="center"/>
          </w:tcPr>
          <w:p w:rsidR="00F83940" w:rsidRDefault="00F83940">
            <w:pPr>
              <w:spacing w:line="320" w:lineRule="exact"/>
              <w:jc w:val="center"/>
              <w:rPr>
                <w:rFonts w:ascii="Times New Roman" w:hAnsi="Times New Roman" w:cs="Times New Roman"/>
                <w:sz w:val="24"/>
              </w:rPr>
            </w:pPr>
          </w:p>
        </w:tc>
        <w:tc>
          <w:tcPr>
            <w:tcW w:w="1673" w:type="dxa"/>
            <w:vAlign w:val="center"/>
          </w:tcPr>
          <w:p w:rsidR="00F83940" w:rsidRDefault="00F83940">
            <w:pPr>
              <w:spacing w:line="320" w:lineRule="exact"/>
              <w:jc w:val="center"/>
              <w:rPr>
                <w:rFonts w:ascii="Times New Roman" w:hAnsi="Times New Roman" w:cs="Times New Roman"/>
                <w:sz w:val="24"/>
              </w:rPr>
            </w:pPr>
          </w:p>
        </w:tc>
        <w:tc>
          <w:tcPr>
            <w:tcW w:w="1729" w:type="dxa"/>
            <w:gridSpan w:val="2"/>
            <w:vAlign w:val="center"/>
          </w:tcPr>
          <w:p w:rsidR="00F83940" w:rsidRDefault="00F83940">
            <w:pPr>
              <w:spacing w:line="320" w:lineRule="exact"/>
              <w:jc w:val="center"/>
              <w:rPr>
                <w:rFonts w:ascii="Times New Roman" w:hAnsi="Times New Roman" w:cs="Times New Roman"/>
                <w:sz w:val="24"/>
              </w:rPr>
            </w:pPr>
          </w:p>
        </w:tc>
        <w:tc>
          <w:tcPr>
            <w:tcW w:w="1662" w:type="dxa"/>
            <w:gridSpan w:val="3"/>
            <w:vAlign w:val="center"/>
          </w:tcPr>
          <w:p w:rsidR="00F83940" w:rsidRDefault="00F83940">
            <w:pPr>
              <w:spacing w:line="320" w:lineRule="exact"/>
              <w:jc w:val="center"/>
              <w:rPr>
                <w:rFonts w:ascii="Times New Roman" w:hAnsi="Times New Roman" w:cs="Times New Roman"/>
                <w:sz w:val="24"/>
              </w:rPr>
            </w:pPr>
          </w:p>
        </w:tc>
        <w:tc>
          <w:tcPr>
            <w:tcW w:w="1790" w:type="dxa"/>
            <w:vAlign w:val="center"/>
          </w:tcPr>
          <w:p w:rsidR="00F83940" w:rsidRDefault="00F83940">
            <w:pPr>
              <w:spacing w:line="320" w:lineRule="exact"/>
              <w:jc w:val="center"/>
              <w:rPr>
                <w:rFonts w:ascii="Times New Roman" w:hAnsi="Times New Roman" w:cs="Times New Roman"/>
                <w:sz w:val="24"/>
              </w:rPr>
            </w:pPr>
          </w:p>
        </w:tc>
      </w:tr>
      <w:tr w:rsidR="00F83940">
        <w:trPr>
          <w:cantSplit/>
          <w:trHeight w:val="454"/>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709" w:type="dxa"/>
            <w:vMerge/>
            <w:vAlign w:val="center"/>
          </w:tcPr>
          <w:p w:rsidR="00F83940" w:rsidRDefault="00F83940">
            <w:pPr>
              <w:spacing w:line="320" w:lineRule="exact"/>
              <w:jc w:val="center"/>
              <w:rPr>
                <w:rFonts w:ascii="Times New Roman" w:hAnsi="Times New Roman" w:cs="Times New Roman"/>
                <w:sz w:val="24"/>
              </w:rPr>
            </w:pPr>
          </w:p>
        </w:tc>
        <w:tc>
          <w:tcPr>
            <w:tcW w:w="1673" w:type="dxa"/>
            <w:vAlign w:val="center"/>
          </w:tcPr>
          <w:p w:rsidR="00F83940" w:rsidRDefault="00F83940">
            <w:pPr>
              <w:spacing w:line="320" w:lineRule="exact"/>
              <w:jc w:val="center"/>
              <w:rPr>
                <w:rFonts w:ascii="Times New Roman" w:hAnsi="Times New Roman" w:cs="Times New Roman"/>
                <w:sz w:val="24"/>
              </w:rPr>
            </w:pPr>
          </w:p>
        </w:tc>
        <w:tc>
          <w:tcPr>
            <w:tcW w:w="1729" w:type="dxa"/>
            <w:gridSpan w:val="2"/>
            <w:vAlign w:val="center"/>
          </w:tcPr>
          <w:p w:rsidR="00F83940" w:rsidRDefault="00F83940">
            <w:pPr>
              <w:spacing w:line="320" w:lineRule="exact"/>
              <w:jc w:val="center"/>
              <w:rPr>
                <w:rFonts w:ascii="Times New Roman" w:hAnsi="Times New Roman" w:cs="Times New Roman"/>
                <w:sz w:val="24"/>
              </w:rPr>
            </w:pPr>
          </w:p>
        </w:tc>
        <w:tc>
          <w:tcPr>
            <w:tcW w:w="1662" w:type="dxa"/>
            <w:gridSpan w:val="3"/>
            <w:vAlign w:val="center"/>
          </w:tcPr>
          <w:p w:rsidR="00F83940" w:rsidRDefault="00F83940">
            <w:pPr>
              <w:spacing w:line="320" w:lineRule="exact"/>
              <w:jc w:val="center"/>
              <w:rPr>
                <w:rFonts w:ascii="Times New Roman" w:hAnsi="Times New Roman" w:cs="Times New Roman"/>
                <w:sz w:val="24"/>
              </w:rPr>
            </w:pPr>
          </w:p>
        </w:tc>
        <w:tc>
          <w:tcPr>
            <w:tcW w:w="1790" w:type="dxa"/>
            <w:vAlign w:val="center"/>
          </w:tcPr>
          <w:p w:rsidR="00F83940" w:rsidRDefault="00F83940">
            <w:pPr>
              <w:spacing w:line="320" w:lineRule="exact"/>
              <w:jc w:val="center"/>
              <w:rPr>
                <w:rFonts w:ascii="Times New Roman" w:hAnsi="Times New Roman" w:cs="Times New Roman"/>
                <w:sz w:val="24"/>
              </w:rPr>
            </w:pPr>
          </w:p>
        </w:tc>
      </w:tr>
      <w:tr w:rsidR="00F83940">
        <w:trPr>
          <w:cantSplit/>
          <w:trHeight w:val="454"/>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2382"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ab"/>
                <w:sz w:val="24"/>
              </w:rPr>
              <w:footnoteReference w:id="5"/>
            </w:r>
          </w:p>
        </w:tc>
        <w:tc>
          <w:tcPr>
            <w:tcW w:w="1729" w:type="dxa"/>
            <w:gridSpan w:val="2"/>
            <w:vAlign w:val="center"/>
          </w:tcPr>
          <w:p w:rsidR="00F83940" w:rsidRDefault="00F83940">
            <w:pPr>
              <w:spacing w:line="320" w:lineRule="exact"/>
              <w:jc w:val="center"/>
              <w:rPr>
                <w:rFonts w:ascii="Times New Roman" w:hAnsi="Times New Roman" w:cs="Times New Roman"/>
                <w:sz w:val="24"/>
              </w:rPr>
            </w:pPr>
          </w:p>
        </w:tc>
        <w:tc>
          <w:tcPr>
            <w:tcW w:w="1662" w:type="dxa"/>
            <w:gridSpan w:val="3"/>
            <w:vAlign w:val="center"/>
          </w:tcPr>
          <w:p w:rsidR="00F83940" w:rsidRDefault="00F83940">
            <w:pPr>
              <w:spacing w:line="320" w:lineRule="exact"/>
              <w:jc w:val="center"/>
              <w:rPr>
                <w:rFonts w:ascii="Times New Roman" w:hAnsi="Times New Roman" w:cs="Times New Roman"/>
                <w:sz w:val="24"/>
              </w:rPr>
            </w:pPr>
          </w:p>
        </w:tc>
        <w:tc>
          <w:tcPr>
            <w:tcW w:w="1790" w:type="dxa"/>
            <w:vAlign w:val="center"/>
          </w:tcPr>
          <w:p w:rsidR="00F83940" w:rsidRDefault="00F83940">
            <w:pPr>
              <w:spacing w:line="320" w:lineRule="exact"/>
              <w:jc w:val="center"/>
              <w:rPr>
                <w:rFonts w:ascii="Times New Roman" w:hAnsi="Times New Roman" w:cs="Times New Roman"/>
                <w:sz w:val="24"/>
              </w:rPr>
            </w:pPr>
          </w:p>
        </w:tc>
      </w:tr>
      <w:tr w:rsidR="00F83940">
        <w:trPr>
          <w:cantSplit/>
          <w:trHeight w:val="454"/>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2382"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ab"/>
                <w:sz w:val="24"/>
              </w:rPr>
              <w:footnoteReference w:id="6"/>
            </w:r>
          </w:p>
        </w:tc>
        <w:tc>
          <w:tcPr>
            <w:tcW w:w="5181" w:type="dxa"/>
            <w:gridSpan w:val="6"/>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hint="eastAsia"/>
                <w:sz w:val="24"/>
              </w:rPr>
              <w:t xml:space="preserve"> </w:t>
            </w:r>
          </w:p>
        </w:tc>
      </w:tr>
      <w:tr w:rsidR="00F83940">
        <w:trPr>
          <w:trHeight w:val="454"/>
        </w:trPr>
        <w:tc>
          <w:tcPr>
            <w:tcW w:w="3341" w:type="dxa"/>
            <w:gridSpan w:val="3"/>
            <w:vAlign w:val="center"/>
          </w:tcPr>
          <w:p w:rsidR="00F83940" w:rsidRDefault="002A362B">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rsidR="00F83940" w:rsidRDefault="002A362B">
            <w:pPr>
              <w:spacing w:line="320" w:lineRule="exact"/>
              <w:ind w:firstLineChars="200" w:firstLine="480"/>
              <w:jc w:val="left"/>
              <w:rPr>
                <w:rFonts w:ascii="Times New Roman" w:hAnsi="Times New Roman" w:cs="Times New Roman"/>
                <w:sz w:val="24"/>
              </w:rPr>
            </w:pPr>
            <w:r>
              <w:rPr>
                <w:rFonts w:ascii="Times New Roman" w:hAnsi="Times New Roman" w:cs="Times New Roman" w:hint="eastAsia"/>
                <w:sz w:val="24"/>
              </w:rPr>
              <w:t xml:space="preserve"> </w:t>
            </w:r>
          </w:p>
        </w:tc>
        <w:tc>
          <w:tcPr>
            <w:tcW w:w="1639"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rsidR="00F83940" w:rsidRDefault="002A362B">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rsidR="00F83940">
        <w:trPr>
          <w:trHeight w:val="454"/>
        </w:trPr>
        <w:tc>
          <w:tcPr>
            <w:tcW w:w="8522" w:type="dxa"/>
            <w:gridSpan w:val="9"/>
            <w:vAlign w:val="center"/>
          </w:tcPr>
          <w:p w:rsidR="00F83940" w:rsidRDefault="002A362B">
            <w:pPr>
              <w:spacing w:line="320" w:lineRule="exact"/>
              <w:ind w:firstLineChars="200" w:firstLine="48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rsidR="00F83940" w:rsidRDefault="002A362B">
            <w:pPr>
              <w:spacing w:line="320" w:lineRule="exact"/>
              <w:ind w:firstLineChars="200" w:firstLine="480"/>
              <w:jc w:val="center"/>
              <w:rPr>
                <w:rFonts w:ascii="Times New Roman" w:hAnsi="Times New Roman" w:cs="Times New Roman"/>
                <w:sz w:val="24"/>
              </w:rPr>
            </w:pPr>
            <w:r>
              <w:rPr>
                <w:rFonts w:ascii="Times New Roman" w:hAnsi="宋体" w:cs="Times New Roman"/>
                <w:sz w:val="24"/>
              </w:rPr>
              <w:t>（公章）</w:t>
            </w:r>
          </w:p>
          <w:p w:rsidR="00F83940" w:rsidRDefault="002A362B">
            <w:pPr>
              <w:spacing w:line="320" w:lineRule="exact"/>
              <w:ind w:firstLineChars="200" w:firstLine="480"/>
              <w:jc w:val="cente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年</w:t>
            </w:r>
            <w:r>
              <w:rPr>
                <w:rFonts w:ascii="Times New Roman" w:hAnsi="Times New Roman" w:cs="Times New Roman" w:hint="eastAsia"/>
                <w:sz w:val="24"/>
              </w:rPr>
              <w:t xml:space="preserve">  </w:t>
            </w:r>
            <w:r>
              <w:rPr>
                <w:rFonts w:ascii="Times New Roman" w:hAnsi="Times New Roman" w:cs="Times New Roman" w:hint="eastAsia"/>
                <w:sz w:val="24"/>
              </w:rPr>
              <w:t>月</w:t>
            </w:r>
            <w:r>
              <w:rPr>
                <w:rFonts w:ascii="Times New Roman" w:hAnsi="Times New Roman" w:cs="Times New Roman" w:hint="eastAsia"/>
                <w:sz w:val="24"/>
              </w:rPr>
              <w:t xml:space="preserve">  </w:t>
            </w:r>
            <w:r>
              <w:rPr>
                <w:rFonts w:ascii="Times New Roman" w:hAnsi="Times New Roman" w:cs="Times New Roman" w:hint="eastAsia"/>
                <w:sz w:val="24"/>
              </w:rPr>
              <w:t>日</w:t>
            </w:r>
            <w:r>
              <w:rPr>
                <w:rFonts w:ascii="Times New Roman" w:hAnsi="Times New Roman" w:cs="Times New Roman"/>
                <w:sz w:val="24"/>
              </w:rPr>
              <w:t xml:space="preserve">           </w:t>
            </w:r>
          </w:p>
        </w:tc>
      </w:tr>
    </w:tbl>
    <w:p w:rsidR="00F83940" w:rsidRDefault="002A362B">
      <w:pPr>
        <w:widowControl/>
        <w:spacing w:line="384" w:lineRule="auto"/>
        <w:rPr>
          <w:rFonts w:ascii="Times New Roman" w:eastAsia="黑体" w:hAnsi="Times New Roman"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5"/>
      <w:r>
        <w:rPr>
          <w:rFonts w:ascii="Times New Roman" w:eastAsia="仿宋_GB2312" w:hAnsi="Times New Roman" w:cs="Times New Roman"/>
          <w:kern w:val="0"/>
          <w:sz w:val="30"/>
          <w:szCs w:val="30"/>
        </w:rPr>
        <w:br w:type="page"/>
      </w:r>
    </w:p>
    <w:p w:rsidR="00F83940" w:rsidRDefault="002A362B">
      <w:pPr>
        <w:widowControl/>
        <w:spacing w:line="384" w:lineRule="auto"/>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附录三</w:t>
      </w:r>
      <w:r>
        <w:rPr>
          <w:rFonts w:ascii="Times New Roman" w:eastAsia="仿宋_GB2312" w:hAnsi="Times New Roman" w:cs="Times New Roman"/>
          <w:kern w:val="0"/>
          <w:sz w:val="30"/>
          <w:szCs w:val="30"/>
        </w:rPr>
        <w:t xml:space="preserve">                   </w:t>
      </w:r>
    </w:p>
    <w:p w:rsidR="00F83940" w:rsidRDefault="002A362B">
      <w:pPr>
        <w:ind w:right="300"/>
        <w:rPr>
          <w:rFonts w:ascii="Times New Roman" w:eastAsia="黑体" w:hAnsi="Times New Roman" w:cs="Times New Roman"/>
          <w:sz w:val="30"/>
          <w:szCs w:val="30"/>
        </w:rPr>
      </w:pPr>
      <w:r>
        <w:rPr>
          <w:rFonts w:ascii="Times New Roman" w:eastAsia="黑体" w:hAnsi="黑体" w:cs="Times New Roman"/>
          <w:bCs/>
          <w:sz w:val="30"/>
          <w:szCs w:val="30"/>
        </w:rPr>
        <w:t>宏观审慎跨境融资风险加权余额情况表（企业版）</w:t>
      </w:r>
      <w:r>
        <w:rPr>
          <w:rFonts w:ascii="Times New Roman" w:eastAsia="黑体" w:hAnsi="黑体" w:cs="Times New Roman"/>
          <w:sz w:val="30"/>
          <w:szCs w:val="30"/>
        </w:rPr>
        <w:t>错误示例</w:t>
      </w:r>
    </w:p>
    <w:p w:rsidR="00F83940" w:rsidRDefault="002A362B">
      <w:pPr>
        <w:ind w:firstLineChars="600" w:firstLine="1260"/>
        <w:rPr>
          <w:rFonts w:ascii="Times New Roman" w:hAnsi="Times New Roman" w:cs="Times New Roman"/>
        </w:rPr>
      </w:pPr>
      <w:r>
        <w:rPr>
          <w:rFonts w:ascii="Times New Roman" w:cs="Times New Roman" w:hint="eastAsia"/>
        </w:rPr>
        <w:t xml:space="preserve">                                           </w:t>
      </w:r>
      <w:r>
        <w:rPr>
          <w:rFonts w:ascii="Times New Roman" w:cs="Times New Roman"/>
        </w:rPr>
        <w:t>单位</w:t>
      </w:r>
      <w:r>
        <w:rPr>
          <w:rStyle w:val="ab"/>
        </w:rPr>
        <w:footnoteReference w:id="7"/>
      </w:r>
      <w:r>
        <w:rPr>
          <w:rFonts w:ascii="Times New Roman" w:cs="Times New Roman"/>
        </w:rPr>
        <w:t>：万元人民币</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09"/>
        <w:gridCol w:w="1712"/>
        <w:gridCol w:w="1422"/>
        <w:gridCol w:w="207"/>
        <w:gridCol w:w="61"/>
        <w:gridCol w:w="1592"/>
        <w:gridCol w:w="47"/>
        <w:gridCol w:w="23"/>
        <w:gridCol w:w="1790"/>
      </w:tblGrid>
      <w:tr w:rsidR="00F83940">
        <w:trPr>
          <w:cantSplit/>
          <w:trHeight w:val="541"/>
        </w:trPr>
        <w:tc>
          <w:tcPr>
            <w:tcW w:w="959" w:type="dxa"/>
            <w:vMerge w:val="restart"/>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rsidR="00F83940">
        <w:trPr>
          <w:cantSplit/>
          <w:trHeight w:val="556"/>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2421"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ab"/>
                <w:sz w:val="24"/>
              </w:rPr>
              <w:footnoteReference w:id="8"/>
            </w:r>
          </w:p>
        </w:tc>
        <w:tc>
          <w:tcPr>
            <w:tcW w:w="1860" w:type="dxa"/>
            <w:gridSpan w:val="3"/>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pict>
                <v:oval id="椭圆 94" o:spid="_x0000_s1061" style="position:absolute;left:0;text-align:left;margin-left:8.9pt;margin-top:-1.5pt;width:63.95pt;height:28.8pt;z-index:1;mso-position-horizontal-relative:text;mso-position-vertical-relative:text" o:preferrelative="t" filled="f" fillcolor="#9cbee0" strokecolor="red" strokeweight="1.25pt">
                  <v:fill color2="#bbd5f0"/>
                  <v:stroke miterlimit="2"/>
                </v:oval>
              </w:pict>
            </w:r>
            <w:r>
              <w:rPr>
                <w:rFonts w:ascii="Times New Roman" w:hAnsi="宋体" w:cs="Times New Roman"/>
                <w:sz w:val="24"/>
              </w:rPr>
              <w:t>股份公司</w:t>
            </w:r>
          </w:p>
        </w:tc>
      </w:tr>
      <w:tr w:rsidR="00F83940">
        <w:trPr>
          <w:cantSplit/>
          <w:trHeight w:val="387"/>
        </w:trPr>
        <w:tc>
          <w:tcPr>
            <w:tcW w:w="959" w:type="dxa"/>
            <w:vMerge w:val="restart"/>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净资产</w:t>
            </w:r>
            <w:r>
              <w:rPr>
                <w:rStyle w:val="ab"/>
                <w:sz w:val="24"/>
              </w:rPr>
              <w:footnoteReference w:id="9"/>
            </w:r>
          </w:p>
        </w:tc>
        <w:tc>
          <w:tcPr>
            <w:tcW w:w="5142" w:type="dxa"/>
            <w:gridSpan w:val="7"/>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240.51</w:t>
            </w:r>
          </w:p>
        </w:tc>
      </w:tr>
      <w:tr w:rsidR="00F83940">
        <w:trPr>
          <w:cantSplit/>
          <w:trHeight w:val="689"/>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2421"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风险加权余额</w:t>
            </w:r>
          </w:p>
          <w:p w:rsidR="00F83940" w:rsidRDefault="002A362B">
            <w:pPr>
              <w:spacing w:line="320" w:lineRule="exact"/>
              <w:jc w:val="center"/>
              <w:rPr>
                <w:rFonts w:ascii="Times New Roman" w:hAnsi="Times New Roman" w:cs="Times New Roman"/>
                <w:sz w:val="24"/>
              </w:rPr>
            </w:pPr>
            <w:r>
              <w:rPr>
                <w:rFonts w:ascii="Times New Roman" w:hAnsi="宋体" w:cs="Times New Roman"/>
                <w:sz w:val="24"/>
              </w:rPr>
              <w:t>上限</w:t>
            </w:r>
            <w:r>
              <w:rPr>
                <w:rStyle w:val="ab"/>
                <w:sz w:val="24"/>
              </w:rPr>
              <w:footnoteReference w:id="10"/>
            </w:r>
          </w:p>
        </w:tc>
        <w:tc>
          <w:tcPr>
            <w:tcW w:w="5142" w:type="dxa"/>
            <w:gridSpan w:val="7"/>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3 95" o:spid="_x0000_s1062" type="#_x0000_t48" style="position:absolute;left:0;text-align:left;margin-left:254.25pt;margin-top:-8.05pt;width:67.95pt;height:38.65pt;z-index:2;mso-position-horizontal-relative:text;mso-position-vertical-relative:text" o:preferrelative="t" adj="-5404,-22662,-3656,5030,-1907,5030" filled="f" fillcolor="#9cbee0" strokecolor="#36f" strokeweight="1.25pt">
                  <v:fill color2="#bbd5f0"/>
                  <v:stroke miterlimit="2"/>
                  <v:textbox>
                    <w:txbxContent>
                      <w:p w:rsidR="00F83940" w:rsidRDefault="002A362B">
                        <w:pPr>
                          <w:snapToGrid w:val="0"/>
                          <w:rPr>
                            <w:sz w:val="15"/>
                            <w:szCs w:val="13"/>
                          </w:rPr>
                        </w:pPr>
                        <w:r>
                          <w:rPr>
                            <w:rFonts w:hint="eastAsia"/>
                            <w:sz w:val="15"/>
                            <w:szCs w:val="13"/>
                          </w:rPr>
                          <w:t>此处应填写中资企业或外资企业</w:t>
                        </w:r>
                      </w:p>
                    </w:txbxContent>
                  </v:textbox>
                </v:shape>
              </w:pict>
            </w:r>
            <w:r>
              <w:rPr>
                <w:rFonts w:ascii="Times New Roman" w:hAnsi="Times New Roman" w:cs="Times New Roman" w:hint="eastAsia"/>
                <w:sz w:val="24"/>
              </w:rPr>
              <w:t>601.28</w:t>
            </w:r>
          </w:p>
        </w:tc>
      </w:tr>
      <w:tr w:rsidR="00F83940">
        <w:trPr>
          <w:cantSplit/>
          <w:trHeight w:val="375"/>
        </w:trPr>
        <w:tc>
          <w:tcPr>
            <w:tcW w:w="959" w:type="dxa"/>
            <w:vMerge w:val="restart"/>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sz="4" w:space="0" w:color="auto"/>
            </w:tcBorders>
            <w:vAlign w:val="center"/>
          </w:tcPr>
          <w:p w:rsidR="00F83940" w:rsidRDefault="00F83940">
            <w:pPr>
              <w:spacing w:line="320" w:lineRule="exact"/>
              <w:jc w:val="center"/>
              <w:rPr>
                <w:rFonts w:ascii="Times New Roman" w:hAnsi="Times New Roman" w:cs="Times New Roman"/>
                <w:sz w:val="24"/>
              </w:rPr>
            </w:pPr>
          </w:p>
        </w:tc>
        <w:tc>
          <w:tcPr>
            <w:tcW w:w="1690" w:type="dxa"/>
            <w:gridSpan w:val="3"/>
            <w:vAlign w:val="center"/>
          </w:tcPr>
          <w:p w:rsidR="00F83940" w:rsidRDefault="002A362B">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rsidR="00F83940" w:rsidRDefault="002A362B">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rsidR="00F83940" w:rsidRDefault="002A362B">
            <w:pPr>
              <w:jc w:val="center"/>
              <w:rPr>
                <w:rFonts w:ascii="Times New Roman" w:hAnsi="Times New Roman" w:cs="Times New Roman"/>
              </w:rPr>
            </w:pPr>
            <w:r>
              <w:rPr>
                <w:rFonts w:ascii="Times New Roman" w:hAnsi="宋体" w:cs="Times New Roman"/>
                <w:sz w:val="24"/>
              </w:rPr>
              <w:t>外币</w:t>
            </w:r>
          </w:p>
        </w:tc>
      </w:tr>
      <w:tr w:rsidR="00F83940">
        <w:trPr>
          <w:cantSplit/>
          <w:trHeight w:val="361"/>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2421"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15</w:t>
            </w:r>
          </w:p>
        </w:tc>
      </w:tr>
      <w:tr w:rsidR="00F83940">
        <w:trPr>
          <w:cantSplit/>
          <w:trHeight w:val="405"/>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2421"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rsidR="00F83940" w:rsidRDefault="00F83940">
            <w:pPr>
              <w:spacing w:line="320" w:lineRule="exact"/>
              <w:jc w:val="center"/>
              <w:rPr>
                <w:rFonts w:ascii="Times New Roman" w:hAnsi="Times New Roman" w:cs="Times New Roman"/>
                <w:sz w:val="24"/>
              </w:rPr>
            </w:pPr>
          </w:p>
        </w:tc>
        <w:tc>
          <w:tcPr>
            <w:tcW w:w="1790" w:type="dxa"/>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10</w:t>
            </w:r>
          </w:p>
        </w:tc>
      </w:tr>
      <w:tr w:rsidR="00F83940">
        <w:trPr>
          <w:cantSplit/>
          <w:trHeight w:val="684"/>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709" w:type="dxa"/>
            <w:vMerge w:val="restart"/>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sz="4" w:space="0" w:color="auto"/>
            </w:tcBorders>
            <w:vAlign w:val="center"/>
          </w:tcPr>
          <w:p w:rsidR="00F83940" w:rsidRDefault="00F83940">
            <w:pPr>
              <w:spacing w:line="320" w:lineRule="exact"/>
              <w:jc w:val="center"/>
              <w:rPr>
                <w:rFonts w:ascii="Times New Roman" w:hAnsi="Times New Roman" w:cs="Times New Roman"/>
                <w:sz w:val="24"/>
              </w:rPr>
            </w:pPr>
          </w:p>
        </w:tc>
        <w:tc>
          <w:tcPr>
            <w:tcW w:w="1690" w:type="dxa"/>
            <w:gridSpan w:val="3"/>
            <w:vAlign w:val="center"/>
          </w:tcPr>
          <w:p w:rsidR="00F83940" w:rsidRDefault="002A362B">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rsidR="00F83940" w:rsidRDefault="002A362B">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rsidR="00F83940" w:rsidRDefault="002A362B">
            <w:pPr>
              <w:jc w:val="center"/>
              <w:rPr>
                <w:rFonts w:ascii="Times New Roman" w:hAnsi="Times New Roman" w:cs="Times New Roman"/>
              </w:rPr>
            </w:pPr>
            <w:r>
              <w:rPr>
                <w:rFonts w:ascii="Times New Roman" w:hAnsi="宋体" w:cs="Times New Roman"/>
                <w:sz w:val="24"/>
              </w:rPr>
              <w:t>外币余额</w:t>
            </w:r>
          </w:p>
        </w:tc>
      </w:tr>
      <w:tr w:rsidR="00F83940">
        <w:trPr>
          <w:cantSplit/>
          <w:trHeight w:val="411"/>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709" w:type="dxa"/>
            <w:vMerge/>
            <w:vAlign w:val="center"/>
          </w:tcPr>
          <w:p w:rsidR="00F83940" w:rsidRDefault="00F83940">
            <w:pPr>
              <w:spacing w:line="320" w:lineRule="exact"/>
              <w:jc w:val="center"/>
              <w:rPr>
                <w:rFonts w:ascii="Times New Roman" w:hAnsi="Times New Roman" w:cs="Times New Roman"/>
                <w:sz w:val="24"/>
              </w:rPr>
            </w:pPr>
          </w:p>
        </w:tc>
        <w:tc>
          <w:tcPr>
            <w:tcW w:w="1712" w:type="dxa"/>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rsidR="00F83940" w:rsidRDefault="00F83940">
            <w:pPr>
              <w:spacing w:line="320" w:lineRule="exact"/>
              <w:jc w:val="center"/>
              <w:rPr>
                <w:rFonts w:ascii="Times New Roman" w:hAnsi="Times New Roman" w:cs="Times New Roman"/>
                <w:sz w:val="24"/>
              </w:rPr>
            </w:pPr>
          </w:p>
        </w:tc>
      </w:tr>
      <w:tr w:rsidR="00F83940">
        <w:trPr>
          <w:cantSplit/>
          <w:trHeight w:val="416"/>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709" w:type="dxa"/>
            <w:vMerge/>
            <w:vAlign w:val="center"/>
          </w:tcPr>
          <w:p w:rsidR="00F83940" w:rsidRDefault="00F83940">
            <w:pPr>
              <w:spacing w:line="320" w:lineRule="exact"/>
              <w:jc w:val="center"/>
              <w:rPr>
                <w:rFonts w:ascii="Times New Roman" w:hAnsi="Times New Roman" w:cs="Times New Roman"/>
                <w:sz w:val="24"/>
              </w:rPr>
            </w:pPr>
          </w:p>
        </w:tc>
        <w:tc>
          <w:tcPr>
            <w:tcW w:w="1712" w:type="dxa"/>
            <w:vAlign w:val="center"/>
          </w:tcPr>
          <w:p w:rsidR="00F83940" w:rsidRDefault="00F83940">
            <w:pPr>
              <w:spacing w:line="320" w:lineRule="exact"/>
              <w:jc w:val="center"/>
              <w:rPr>
                <w:rFonts w:ascii="Times New Roman" w:hAnsi="Times New Roman" w:cs="Times New Roman"/>
                <w:sz w:val="24"/>
              </w:rPr>
            </w:pPr>
          </w:p>
        </w:tc>
        <w:tc>
          <w:tcPr>
            <w:tcW w:w="1690" w:type="dxa"/>
            <w:gridSpan w:val="3"/>
            <w:vAlign w:val="center"/>
          </w:tcPr>
          <w:p w:rsidR="00F83940" w:rsidRDefault="00F83940">
            <w:pPr>
              <w:spacing w:line="320" w:lineRule="exact"/>
              <w:jc w:val="center"/>
              <w:rPr>
                <w:rFonts w:ascii="Times New Roman" w:hAnsi="Times New Roman" w:cs="Times New Roman"/>
                <w:sz w:val="24"/>
              </w:rPr>
            </w:pPr>
          </w:p>
        </w:tc>
        <w:tc>
          <w:tcPr>
            <w:tcW w:w="1662" w:type="dxa"/>
            <w:gridSpan w:val="3"/>
            <w:vAlign w:val="center"/>
          </w:tcPr>
          <w:p w:rsidR="00F83940" w:rsidRDefault="00F83940">
            <w:pPr>
              <w:spacing w:line="320" w:lineRule="exact"/>
              <w:jc w:val="center"/>
              <w:rPr>
                <w:rFonts w:ascii="Times New Roman" w:hAnsi="Times New Roman" w:cs="Times New Roman"/>
                <w:sz w:val="24"/>
              </w:rPr>
            </w:pPr>
          </w:p>
        </w:tc>
        <w:tc>
          <w:tcPr>
            <w:tcW w:w="1790" w:type="dxa"/>
            <w:vAlign w:val="center"/>
          </w:tcPr>
          <w:p w:rsidR="00F83940" w:rsidRDefault="00F83940">
            <w:pPr>
              <w:spacing w:line="320" w:lineRule="exact"/>
              <w:jc w:val="center"/>
              <w:rPr>
                <w:rFonts w:ascii="Times New Roman" w:hAnsi="Times New Roman" w:cs="Times New Roman"/>
                <w:sz w:val="24"/>
              </w:rPr>
            </w:pPr>
          </w:p>
        </w:tc>
      </w:tr>
      <w:tr w:rsidR="00F83940">
        <w:trPr>
          <w:cantSplit/>
          <w:trHeight w:val="409"/>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709" w:type="dxa"/>
            <w:vMerge/>
            <w:vAlign w:val="center"/>
          </w:tcPr>
          <w:p w:rsidR="00F83940" w:rsidRDefault="00F83940">
            <w:pPr>
              <w:spacing w:line="320" w:lineRule="exact"/>
              <w:jc w:val="center"/>
              <w:rPr>
                <w:rFonts w:ascii="Times New Roman" w:hAnsi="Times New Roman" w:cs="Times New Roman"/>
                <w:sz w:val="24"/>
              </w:rPr>
            </w:pPr>
          </w:p>
        </w:tc>
        <w:tc>
          <w:tcPr>
            <w:tcW w:w="1712" w:type="dxa"/>
            <w:vAlign w:val="center"/>
          </w:tcPr>
          <w:p w:rsidR="00F83940" w:rsidRDefault="00F83940">
            <w:pPr>
              <w:spacing w:line="320" w:lineRule="exact"/>
              <w:jc w:val="center"/>
              <w:rPr>
                <w:rFonts w:ascii="Times New Roman" w:hAnsi="Times New Roman" w:cs="Times New Roman"/>
                <w:sz w:val="24"/>
              </w:rPr>
            </w:pPr>
          </w:p>
        </w:tc>
        <w:tc>
          <w:tcPr>
            <w:tcW w:w="1690" w:type="dxa"/>
            <w:gridSpan w:val="3"/>
            <w:vAlign w:val="center"/>
          </w:tcPr>
          <w:p w:rsidR="00F83940" w:rsidRDefault="00F83940">
            <w:pPr>
              <w:spacing w:line="320" w:lineRule="exact"/>
              <w:jc w:val="center"/>
              <w:rPr>
                <w:rFonts w:ascii="Times New Roman" w:hAnsi="Times New Roman" w:cs="Times New Roman"/>
                <w:sz w:val="24"/>
              </w:rPr>
            </w:pPr>
          </w:p>
        </w:tc>
        <w:tc>
          <w:tcPr>
            <w:tcW w:w="1662" w:type="dxa"/>
            <w:gridSpan w:val="3"/>
            <w:vAlign w:val="center"/>
          </w:tcPr>
          <w:p w:rsidR="00F83940" w:rsidRDefault="00F83940">
            <w:pPr>
              <w:spacing w:line="320" w:lineRule="exact"/>
              <w:jc w:val="center"/>
              <w:rPr>
                <w:rFonts w:ascii="Times New Roman" w:hAnsi="Times New Roman" w:cs="Times New Roman"/>
                <w:sz w:val="24"/>
              </w:rPr>
            </w:pPr>
          </w:p>
        </w:tc>
        <w:tc>
          <w:tcPr>
            <w:tcW w:w="1790" w:type="dxa"/>
            <w:vAlign w:val="center"/>
          </w:tcPr>
          <w:p w:rsidR="00F83940" w:rsidRDefault="00F83940">
            <w:pPr>
              <w:spacing w:line="320" w:lineRule="exact"/>
              <w:jc w:val="center"/>
              <w:rPr>
                <w:rFonts w:ascii="Times New Roman" w:hAnsi="Times New Roman" w:cs="Times New Roman"/>
                <w:sz w:val="24"/>
              </w:rPr>
            </w:pPr>
          </w:p>
        </w:tc>
      </w:tr>
      <w:tr w:rsidR="00F83940">
        <w:trPr>
          <w:cantSplit/>
          <w:trHeight w:val="568"/>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2421"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ab"/>
                <w:sz w:val="24"/>
              </w:rPr>
              <w:footnoteReference w:id="11"/>
            </w:r>
          </w:p>
        </w:tc>
        <w:tc>
          <w:tcPr>
            <w:tcW w:w="1690" w:type="dxa"/>
            <w:gridSpan w:val="3"/>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25</w:t>
            </w:r>
          </w:p>
        </w:tc>
      </w:tr>
      <w:tr w:rsidR="00F83940">
        <w:trPr>
          <w:cantSplit/>
          <w:trHeight w:val="704"/>
        </w:trPr>
        <w:tc>
          <w:tcPr>
            <w:tcW w:w="959" w:type="dxa"/>
            <w:vMerge/>
            <w:vAlign w:val="center"/>
          </w:tcPr>
          <w:p w:rsidR="00F83940" w:rsidRDefault="00F83940">
            <w:pPr>
              <w:spacing w:line="320" w:lineRule="exact"/>
              <w:jc w:val="center"/>
              <w:rPr>
                <w:rFonts w:ascii="Times New Roman" w:hAnsi="Times New Roman" w:cs="Times New Roman"/>
                <w:sz w:val="24"/>
              </w:rPr>
            </w:pPr>
          </w:p>
        </w:tc>
        <w:tc>
          <w:tcPr>
            <w:tcW w:w="2421" w:type="dxa"/>
            <w:gridSpan w:val="2"/>
            <w:vAlign w:val="center"/>
          </w:tcPr>
          <w:p w:rsidR="00F83940" w:rsidRDefault="002A362B">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ab"/>
                <w:sz w:val="24"/>
              </w:rPr>
              <w:footnoteReference w:id="12"/>
            </w:r>
          </w:p>
        </w:tc>
        <w:tc>
          <w:tcPr>
            <w:tcW w:w="5142" w:type="dxa"/>
            <w:gridSpan w:val="7"/>
            <w:vAlign w:val="center"/>
          </w:tcPr>
          <w:p w:rsidR="00F83940" w:rsidRDefault="002A362B">
            <w:pPr>
              <w:spacing w:line="320" w:lineRule="exact"/>
              <w:jc w:val="center"/>
              <w:rPr>
                <w:rFonts w:ascii="Times New Roman" w:hAnsi="Times New Roman" w:cs="Times New Roman"/>
                <w:sz w:val="24"/>
              </w:rPr>
            </w:pPr>
            <w:r>
              <w:rPr>
                <w:rFonts w:ascii="Times New Roman" w:hAnsi="Times New Roman" w:cs="Times New Roman"/>
                <w:sz w:val="24"/>
              </w:rPr>
              <w:t>79.5</w:t>
            </w:r>
          </w:p>
        </w:tc>
      </w:tr>
      <w:tr w:rsidR="00F83940">
        <w:trPr>
          <w:trHeight w:val="900"/>
        </w:trPr>
        <w:tc>
          <w:tcPr>
            <w:tcW w:w="3380" w:type="dxa"/>
            <w:gridSpan w:val="3"/>
            <w:vAlign w:val="center"/>
          </w:tcPr>
          <w:p w:rsidR="00F83940" w:rsidRDefault="002A362B">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rsidR="00F83940" w:rsidRDefault="002A362B">
            <w:pPr>
              <w:spacing w:line="320" w:lineRule="exact"/>
              <w:ind w:firstLineChars="200" w:firstLine="480"/>
              <w:jc w:val="left"/>
              <w:rPr>
                <w:rFonts w:ascii="Times New Roman" w:hAnsi="Times New Roman" w:cs="Times New Roman"/>
                <w:sz w:val="24"/>
              </w:rPr>
            </w:pPr>
            <w:r>
              <w:rPr>
                <w:rFonts w:ascii="Times New Roman" w:hAnsi="Times New Roman" w:cs="Times New Roman" w:hint="eastAsia"/>
                <w:sz w:val="24"/>
              </w:rPr>
              <w:t>521.78</w:t>
            </w:r>
          </w:p>
        </w:tc>
        <w:tc>
          <w:tcPr>
            <w:tcW w:w="1700" w:type="dxa"/>
            <w:gridSpan w:val="3"/>
          </w:tcPr>
          <w:p w:rsidR="00F83940" w:rsidRDefault="002A362B">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rsidR="00F83940" w:rsidRDefault="002A362B">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rsidR="00F83940">
        <w:trPr>
          <w:trHeight w:val="768"/>
        </w:trPr>
        <w:tc>
          <w:tcPr>
            <w:tcW w:w="8522" w:type="dxa"/>
            <w:gridSpan w:val="10"/>
            <w:vAlign w:val="center"/>
          </w:tcPr>
          <w:p w:rsidR="00F83940" w:rsidRDefault="002A362B">
            <w:pPr>
              <w:spacing w:line="320" w:lineRule="exact"/>
              <w:ind w:firstLineChars="200" w:firstLine="48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imes New Roman" w:hAnsi="宋体" w:cs="Times New Roman"/>
                <w:sz w:val="24"/>
              </w:rPr>
              <w:t>（公章）</w:t>
            </w:r>
          </w:p>
          <w:p w:rsidR="00F83940" w:rsidRDefault="002A362B">
            <w:pPr>
              <w:spacing w:line="320" w:lineRule="exact"/>
              <w:ind w:firstLineChars="200" w:firstLine="480"/>
              <w:jc w:val="center"/>
              <w:rPr>
                <w:rFonts w:ascii="Times New Roman" w:hAnsi="Times New Roman" w:cs="Times New Roman"/>
                <w:sz w:val="24"/>
              </w:rPr>
            </w:pPr>
            <w:r>
              <w:rPr>
                <w:rFonts w:ascii="Times New Roman" w:hAnsi="宋体" w:cs="Times New Roman" w:hint="eastAsia"/>
                <w:sz w:val="24"/>
              </w:rPr>
              <w:t xml:space="preserve">                                            </w:t>
            </w:r>
            <w:r>
              <w:rPr>
                <w:rFonts w:ascii="Times New Roman" w:hAnsi="宋体" w:cs="Times New Roman" w:hint="eastAsia"/>
                <w:sz w:val="24"/>
              </w:rPr>
              <w:t>年</w:t>
            </w:r>
            <w:r>
              <w:rPr>
                <w:rFonts w:ascii="Times New Roman" w:hAnsi="宋体" w:cs="Times New Roman" w:hint="eastAsia"/>
                <w:sz w:val="24"/>
              </w:rPr>
              <w:t xml:space="preserve">  </w:t>
            </w:r>
            <w:r>
              <w:rPr>
                <w:rFonts w:ascii="Times New Roman" w:hAnsi="宋体" w:cs="Times New Roman" w:hint="eastAsia"/>
                <w:sz w:val="24"/>
              </w:rPr>
              <w:t>月</w:t>
            </w:r>
            <w:r>
              <w:rPr>
                <w:rFonts w:ascii="Times New Roman" w:hAnsi="宋体" w:cs="Times New Roman" w:hint="eastAsia"/>
                <w:sz w:val="24"/>
              </w:rPr>
              <w:t xml:space="preserve">  </w:t>
            </w:r>
            <w:r>
              <w:rPr>
                <w:rFonts w:ascii="Times New Roman" w:hAnsi="宋体" w:cs="Times New Roman" w:hint="eastAsia"/>
                <w:sz w:val="24"/>
              </w:rPr>
              <w:t>日</w:t>
            </w:r>
          </w:p>
        </w:tc>
      </w:tr>
    </w:tbl>
    <w:p w:rsidR="00F83940" w:rsidRDefault="002A362B">
      <w:pPr>
        <w:widowControl/>
        <w:spacing w:line="384" w:lineRule="auto"/>
        <w:rPr>
          <w:rFonts w:ascii="Times New Roman" w:eastAsia="仿宋_GB2312" w:hAnsi="Times New Roman"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w:t>
      </w:r>
      <w:r>
        <w:rPr>
          <w:rFonts w:ascii="Times New Roman" w:hAnsi="宋体" w:cs="Times New Roman" w:hint="eastAsia"/>
          <w:sz w:val="24"/>
        </w:rPr>
        <w:t>电话：</w:t>
      </w:r>
      <w:r>
        <w:rPr>
          <w:rFonts w:ascii="Times New Roman" w:hAnsi="宋体" w:cs="Times New Roman" w:hint="eastAsia"/>
          <w:sz w:val="24"/>
        </w:rPr>
        <w:t xml:space="preserve"> </w:t>
      </w:r>
      <w:r>
        <w:rPr>
          <w:rFonts w:ascii="Times New Roman" w:hAnsi="Times New Roman" w:cs="Times New Roman"/>
          <w:sz w:val="24"/>
        </w:rPr>
        <w:t xml:space="preserve">    </w:t>
      </w:r>
      <w:r>
        <w:rPr>
          <w:rFonts w:ascii="Times New Roman" w:eastAsia="仿宋_GB2312" w:hAnsi="Times New Roman" w:cs="Times New Roman"/>
          <w:kern w:val="0"/>
          <w:sz w:val="30"/>
          <w:szCs w:val="30"/>
        </w:rPr>
        <w:br w:type="page"/>
      </w:r>
      <w:r>
        <w:rPr>
          <w:rFonts w:ascii="Times New Roman" w:eastAsia="仿宋_GB2312" w:hAnsi="Times New Roman" w:cs="Times New Roman"/>
          <w:kern w:val="0"/>
          <w:sz w:val="30"/>
          <w:szCs w:val="30"/>
        </w:rPr>
        <w:lastRenderedPageBreak/>
        <w:t>附录四</w:t>
      </w:r>
      <w:r>
        <w:rPr>
          <w:rFonts w:ascii="Times New Roman" w:eastAsia="仿宋_GB2312" w:hAnsi="Times New Roman" w:cs="Times New Roman"/>
          <w:kern w:val="0"/>
          <w:sz w:val="30"/>
          <w:szCs w:val="30"/>
        </w:rPr>
        <w:t xml:space="preserve"> </w:t>
      </w:r>
    </w:p>
    <w:p w:rsidR="00F83940" w:rsidRDefault="00F83940">
      <w:pPr>
        <w:widowControl/>
        <w:spacing w:line="384" w:lineRule="auto"/>
        <w:rPr>
          <w:rFonts w:ascii="Times New Roman" w:eastAsia="仿宋_GB2312" w:hAnsi="Times New Roman" w:cs="Times New Roman"/>
          <w:kern w:val="0"/>
          <w:sz w:val="30"/>
          <w:szCs w:val="30"/>
        </w:rPr>
      </w:pPr>
    </w:p>
    <w:p w:rsidR="00F83940" w:rsidRDefault="002A362B">
      <w:pPr>
        <w:ind w:firstLineChars="200" w:firstLine="720"/>
        <w:rPr>
          <w:rFonts w:ascii="Times New Roman" w:eastAsia="黑体" w:hAnsi="Times New Roman" w:cs="Times New Roman"/>
          <w:sz w:val="36"/>
          <w:szCs w:val="36"/>
        </w:rPr>
      </w:pPr>
      <w:r>
        <w:rPr>
          <w:rFonts w:ascii="Times New Roman" w:eastAsia="黑体" w:hAnsi="Times New Roman" w:cs="Times New Roman"/>
          <w:sz w:val="36"/>
          <w:szCs w:val="36"/>
        </w:rPr>
        <w:t>跨国公司跨境资金集中运营业务办理确认书</w:t>
      </w:r>
    </w:p>
    <w:p w:rsidR="00F83940" w:rsidRDefault="00F83940">
      <w:pPr>
        <w:ind w:firstLineChars="200" w:firstLine="600"/>
        <w:rPr>
          <w:rFonts w:ascii="Times New Roman" w:eastAsia="仿宋_GB2312" w:hAnsi="Times New Roman" w:cs="Times New Roman"/>
          <w:sz w:val="30"/>
          <w:szCs w:val="30"/>
        </w:rPr>
      </w:pPr>
    </w:p>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本单位已知晓</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政策及相关要求，仔细阅读本确认书告知和提示的本单位义务以及外汇局监管要求。承诺将：</w:t>
      </w:r>
    </w:p>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一、依法合规开展</w:t>
      </w:r>
      <w:r>
        <w:rPr>
          <w:rFonts w:ascii="Times New Roman" w:eastAsia="仿宋_GB2312" w:hAnsi="Times New Roman" w:cs="Times New Roman"/>
          <w:sz w:val="30"/>
        </w:rPr>
        <w:t>跨境资金集中运营业务</w:t>
      </w:r>
      <w:r>
        <w:rPr>
          <w:rFonts w:ascii="Times New Roman" w:eastAsia="仿宋_GB2312" w:hAnsi="Times New Roman" w:cs="Times New Roman"/>
          <w:sz w:val="30"/>
          <w:szCs w:val="30"/>
        </w:rPr>
        <w:t>。在满足下列要求前提下，享有按照政策规定的便利措施办理相关业务的权利：签署本确认书，严格按照要求办理业务，合规经营等。</w:t>
      </w:r>
    </w:p>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三、理解并接受外汇局根据国际收支形势对政策和业务进行适时调整。</w:t>
      </w:r>
      <w:r>
        <w:rPr>
          <w:rFonts w:ascii="Times New Roman" w:eastAsia="黑体" w:hAnsi="Times New Roman" w:cs="Times New Roman"/>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cs="Times New Roman"/>
          <w:sz w:val="30"/>
          <w:szCs w:val="30"/>
        </w:rPr>
        <w:t>违反政策及相关要求的，接受外汇局依法实施的包括行政处罚、暂停或终止业务、对外公布相关处罚决定等在内的处理措施。</w:t>
      </w:r>
    </w:p>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四、本确认书适用于</w:t>
      </w:r>
      <w:r>
        <w:rPr>
          <w:rFonts w:ascii="Times New Roman" w:eastAsia="仿宋_GB2312" w:hAnsi="Times New Roman" w:cs="Times New Roman"/>
          <w:sz w:val="30"/>
        </w:rPr>
        <w:t>跨国公司跨境资金集中运营</w:t>
      </w:r>
      <w:r>
        <w:rPr>
          <w:rFonts w:ascii="Times New Roman" w:eastAsia="仿宋_GB2312" w:hAnsi="Times New Roman" w:cs="Times New Roman"/>
          <w:sz w:val="30"/>
          <w:szCs w:val="30"/>
        </w:rPr>
        <w:t>业务；本</w:t>
      </w:r>
      <w:r>
        <w:rPr>
          <w:rFonts w:ascii="Times New Roman" w:eastAsia="仿宋_GB2312" w:hAnsi="Times New Roman" w:cs="Times New Roman"/>
          <w:sz w:val="30"/>
          <w:szCs w:val="30"/>
        </w:rPr>
        <w:t>确认书未尽事项，按照有关外汇管理法规规定执行。</w:t>
      </w:r>
    </w:p>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五、本确认书适用于本单位及所属成员单位，自签署时生效。</w:t>
      </w:r>
      <w:r>
        <w:rPr>
          <w:rFonts w:ascii="Times New Roman" w:eastAsia="仿宋_GB2312" w:hAnsi="Times New Roman" w:cs="Times New Roman"/>
          <w:sz w:val="30"/>
          <w:szCs w:val="30"/>
        </w:rPr>
        <w:lastRenderedPageBreak/>
        <w:t>本单位将认真学习并遵守相关政策及要求，积极支持配合外汇局对</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的管理。</w:t>
      </w:r>
    </w:p>
    <w:p w:rsidR="00F83940" w:rsidRDefault="00F83940">
      <w:pPr>
        <w:ind w:firstLineChars="200" w:firstLine="600"/>
        <w:rPr>
          <w:rFonts w:ascii="Times New Roman" w:eastAsia="仿宋_GB2312" w:hAnsi="Times New Roman" w:cs="Times New Roman"/>
          <w:sz w:val="30"/>
          <w:szCs w:val="30"/>
        </w:rPr>
      </w:pPr>
    </w:p>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企业（公章）：</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银行（公章）：</w:t>
      </w:r>
    </w:p>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法定代表人（签字）：</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负责人（签字）：</w:t>
      </w:r>
    </w:p>
    <w:p w:rsidR="00F83940" w:rsidRDefault="002A362B">
      <w:pPr>
        <w:ind w:firstLineChars="400" w:firstLine="1200"/>
        <w:rPr>
          <w:rFonts w:ascii="Times New Roman" w:eastAsia="仿宋_GB2312" w:hAnsi="Times New Roman" w:cs="Times New Roman"/>
          <w:sz w:val="30"/>
          <w:szCs w:val="30"/>
        </w:rPr>
      </w:pP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日</w:t>
      </w:r>
    </w:p>
    <w:p w:rsidR="00F83940" w:rsidRDefault="00F83940">
      <w:pPr>
        <w:ind w:firstLineChars="200" w:firstLine="600"/>
        <w:rPr>
          <w:rFonts w:ascii="Times New Roman" w:eastAsia="仿宋_GB2312" w:hAnsi="Times New Roman" w:cs="Times New Roman"/>
          <w:sz w:val="30"/>
          <w:szCs w:val="30"/>
        </w:rPr>
      </w:pPr>
    </w:p>
    <w:p w:rsidR="00F83940" w:rsidRDefault="00F83940">
      <w:pPr>
        <w:ind w:firstLineChars="200" w:firstLine="600"/>
        <w:rPr>
          <w:rFonts w:ascii="Times New Roman" w:eastAsia="仿宋_GB2312" w:hAnsi="Times New Roman" w:cs="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97"/>
      </w:tblGrid>
      <w:tr w:rsidR="00F83940">
        <w:tc>
          <w:tcPr>
            <w:tcW w:w="8197" w:type="dxa"/>
          </w:tcPr>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为进一步促进贸易投资便利化，外汇局依法制定本确认书，提示企业、银行在开展</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中依法享有的权利和应当承担的义务。企业、银行签署本确认书并认真执行，享有按照跨境</w:t>
            </w:r>
            <w:r>
              <w:rPr>
                <w:rFonts w:ascii="Times New Roman" w:eastAsia="仿宋_GB2312" w:hAnsi="Times New Roman" w:cs="Times New Roman"/>
                <w:sz w:val="30"/>
              </w:rPr>
              <w:t>资金集中运营管理</w:t>
            </w:r>
            <w:r>
              <w:rPr>
                <w:rFonts w:ascii="Times New Roman" w:eastAsia="仿宋_GB2312" w:hAnsi="Times New Roman" w:cs="Times New Roman"/>
                <w:sz w:val="30"/>
                <w:szCs w:val="30"/>
              </w:rPr>
              <w:t>规定的便利措施办理相关业务的权利。</w:t>
            </w:r>
          </w:p>
          <w:p w:rsidR="00F83940" w:rsidRDefault="002A362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外汇局根据国际收支形势等具体情况，制定、调整</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政策，并依法予以告知。</w:t>
            </w:r>
          </w:p>
          <w:p w:rsidR="00F83940" w:rsidRDefault="002A362B">
            <w:pPr>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sz w:val="30"/>
                <w:szCs w:val="30"/>
              </w:rPr>
              <w:t>外汇局依法对跨国公司跨境</w:t>
            </w:r>
            <w:r>
              <w:rPr>
                <w:rFonts w:ascii="Times New Roman" w:eastAsia="仿宋_GB2312" w:hAnsi="Times New Roman" w:cs="Times New Roman"/>
                <w:sz w:val="30"/>
              </w:rPr>
              <w:t>资金集中运营业务</w:t>
            </w:r>
            <w:r>
              <w:rPr>
                <w:rFonts w:ascii="Times New Roman" w:eastAsia="仿宋_GB2312" w:hAnsi="Times New Roman" w:cs="Times New Roman"/>
                <w:sz w:val="30"/>
                <w:szCs w:val="30"/>
              </w:rPr>
              <w:t>进行监督检查。对企业、银行违规行为，按照《中华人民共和国外汇管理条例》等法规规定进行行政处罚。</w:t>
            </w:r>
          </w:p>
        </w:tc>
      </w:tr>
    </w:tbl>
    <w:p w:rsidR="00F83940" w:rsidRDefault="00F83940">
      <w:pPr>
        <w:widowControl/>
        <w:jc w:val="left"/>
        <w:rPr>
          <w:rFonts w:ascii="Times New Roman" w:eastAsia="仿宋_GB2312" w:hAnsi="Times New Roman" w:cs="Times New Roman"/>
          <w:kern w:val="0"/>
          <w:sz w:val="30"/>
          <w:szCs w:val="30"/>
        </w:rPr>
      </w:pPr>
    </w:p>
    <w:p w:rsidR="00F83940" w:rsidRDefault="00F83940">
      <w:pPr>
        <w:rPr>
          <w:rFonts w:ascii="Times New Roman" w:eastAsia="仿宋_GB2312" w:hAnsi="Times New Roman" w:cs="Times New Roman"/>
          <w:kern w:val="0"/>
          <w:sz w:val="30"/>
          <w:szCs w:val="30"/>
        </w:rPr>
      </w:pPr>
    </w:p>
    <w:p w:rsidR="00F83940" w:rsidRDefault="002A362B">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br w:type="page"/>
      </w:r>
    </w:p>
    <w:p w:rsidR="00F83940" w:rsidRDefault="002A362B">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附录五</w:t>
      </w:r>
    </w:p>
    <w:p w:rsidR="00F83940" w:rsidRDefault="00F83940">
      <w:pPr>
        <w:jc w:val="center"/>
        <w:rPr>
          <w:rFonts w:ascii="Times New Roman" w:eastAsia="黑体" w:hAnsi="黑体" w:cs="Times New Roman"/>
          <w:kern w:val="0"/>
          <w:sz w:val="30"/>
          <w:szCs w:val="30"/>
        </w:rPr>
      </w:pPr>
    </w:p>
    <w:p w:rsidR="00F83940" w:rsidRDefault="002A362B">
      <w:pPr>
        <w:jc w:val="center"/>
        <w:rPr>
          <w:rFonts w:ascii="Times New Roman" w:eastAsia="黑体" w:hAnsi="黑体" w:cs="Times New Roman"/>
          <w:kern w:val="0"/>
          <w:sz w:val="30"/>
          <w:szCs w:val="30"/>
        </w:rPr>
      </w:pPr>
      <w:r>
        <w:rPr>
          <w:rFonts w:ascii="Times New Roman" w:eastAsia="黑体" w:hAnsi="黑体" w:cs="Times New Roman"/>
          <w:kern w:val="0"/>
          <w:sz w:val="30"/>
          <w:szCs w:val="30"/>
        </w:rPr>
        <w:t>常见问题</w:t>
      </w:r>
    </w:p>
    <w:p w:rsidR="00F83940" w:rsidRDefault="00F83940">
      <w:pPr>
        <w:jc w:val="center"/>
        <w:rPr>
          <w:rFonts w:ascii="Times New Roman" w:eastAsia="黑体" w:hAnsi="Times New Roman" w:cs="Times New Roman"/>
          <w:kern w:val="0"/>
          <w:sz w:val="30"/>
          <w:szCs w:val="30"/>
        </w:rPr>
      </w:pPr>
    </w:p>
    <w:p w:rsidR="00F83940" w:rsidRDefault="002A362B">
      <w:pPr>
        <w:ind w:firstLine="59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问：请问中资企业是否能够借入外债？</w:t>
      </w:r>
    </w:p>
    <w:p w:rsidR="00F83940" w:rsidRDefault="002A362B">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答：除房地产企业和政府融资平台以外的中资企业，可以按照《中国人民银行关于全口径跨境融资宏观审慎管理有关事宜的通知》（银发〔</w:t>
      </w:r>
      <w:r>
        <w:rPr>
          <w:rFonts w:ascii="Times New Roman" w:eastAsia="仿宋_GB2312" w:hAnsi="Times New Roman" w:cs="Times New Roman"/>
          <w:kern w:val="0"/>
          <w:sz w:val="30"/>
          <w:szCs w:val="30"/>
        </w:rPr>
        <w:t>2017</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9</w:t>
      </w:r>
      <w:r>
        <w:rPr>
          <w:rFonts w:ascii="Times New Roman" w:eastAsia="仿宋_GB2312" w:hAnsi="Times New Roman" w:cs="Times New Roman"/>
          <w:kern w:val="0"/>
          <w:sz w:val="30"/>
          <w:szCs w:val="30"/>
        </w:rPr>
        <w:t>号）</w:t>
      </w:r>
      <w:r>
        <w:rPr>
          <w:rFonts w:ascii="Times New Roman" w:eastAsia="仿宋_GB2312" w:hAnsi="Times New Roman" w:cs="Times New Roman" w:hint="eastAsia"/>
          <w:kern w:val="0"/>
          <w:sz w:val="30"/>
          <w:szCs w:val="30"/>
        </w:rPr>
        <w:t>和</w:t>
      </w:r>
      <w:r>
        <w:rPr>
          <w:rFonts w:ascii="Times New Roman" w:eastAsia="仿宋_GB2312" w:hAnsi="Times New Roman" w:cs="Times New Roman"/>
          <w:kern w:val="0"/>
          <w:sz w:val="30"/>
          <w:szCs w:val="30"/>
        </w:rPr>
        <w:t>《中国人民银行</w:t>
      </w:r>
      <w:r>
        <w:rPr>
          <w:rFonts w:ascii="Times New Roman" w:eastAsia="仿宋_GB2312" w:hAnsi="Times New Roman" w:cs="Times New Roman" w:hint="eastAsia"/>
          <w:kern w:val="0"/>
          <w:sz w:val="30"/>
          <w:szCs w:val="30"/>
        </w:rPr>
        <w:t xml:space="preserve">  </w:t>
      </w:r>
      <w:r>
        <w:rPr>
          <w:rFonts w:ascii="Times New Roman" w:eastAsia="仿宋_GB2312" w:hAnsi="Times New Roman" w:cs="Times New Roman" w:hint="eastAsia"/>
          <w:kern w:val="0"/>
          <w:sz w:val="30"/>
          <w:szCs w:val="30"/>
        </w:rPr>
        <w:t>国家外汇管理局</w:t>
      </w:r>
      <w:r>
        <w:rPr>
          <w:rFonts w:ascii="Times New Roman" w:eastAsia="仿宋_GB2312" w:hAnsi="Times New Roman" w:cs="Times New Roman"/>
          <w:kern w:val="0"/>
          <w:sz w:val="30"/>
          <w:szCs w:val="30"/>
        </w:rPr>
        <w:t>关于</w:t>
      </w:r>
      <w:r>
        <w:rPr>
          <w:rFonts w:ascii="Times New Roman" w:eastAsia="仿宋_GB2312" w:hAnsi="Times New Roman" w:cs="Times New Roman" w:hint="eastAsia"/>
          <w:kern w:val="0"/>
          <w:sz w:val="30"/>
          <w:szCs w:val="30"/>
        </w:rPr>
        <w:t>调整</w:t>
      </w:r>
      <w:r>
        <w:rPr>
          <w:rFonts w:ascii="Times New Roman" w:eastAsia="仿宋_GB2312" w:hAnsi="Times New Roman" w:cs="Times New Roman"/>
          <w:kern w:val="0"/>
          <w:sz w:val="30"/>
          <w:szCs w:val="30"/>
        </w:rPr>
        <w:t>全口径跨境融资宏观审慎</w:t>
      </w:r>
      <w:r>
        <w:rPr>
          <w:rFonts w:ascii="Times New Roman" w:eastAsia="仿宋_GB2312" w:hAnsi="Times New Roman" w:cs="Times New Roman" w:hint="eastAsia"/>
          <w:kern w:val="0"/>
          <w:sz w:val="30"/>
          <w:szCs w:val="30"/>
        </w:rPr>
        <w:t>调节参数</w:t>
      </w:r>
      <w:r>
        <w:rPr>
          <w:rFonts w:ascii="Times New Roman" w:eastAsia="仿宋_GB2312" w:hAnsi="Times New Roman" w:cs="Times New Roman"/>
          <w:kern w:val="0"/>
          <w:sz w:val="30"/>
          <w:szCs w:val="30"/>
        </w:rPr>
        <w:t>的通知》（银发〔</w:t>
      </w:r>
      <w:r>
        <w:rPr>
          <w:rFonts w:ascii="Times New Roman" w:eastAsia="仿宋_GB2312" w:hAnsi="Times New Roman" w:cs="Times New Roman"/>
          <w:kern w:val="0"/>
          <w:sz w:val="30"/>
          <w:szCs w:val="30"/>
        </w:rPr>
        <w:t>20</w:t>
      </w:r>
      <w:r>
        <w:rPr>
          <w:rFonts w:ascii="Times New Roman" w:eastAsia="仿宋_GB2312" w:hAnsi="Times New Roman" w:cs="Times New Roman" w:hint="eastAsia"/>
          <w:kern w:val="0"/>
          <w:sz w:val="30"/>
          <w:szCs w:val="30"/>
        </w:rPr>
        <w:t>20</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64</w:t>
      </w:r>
      <w:r>
        <w:rPr>
          <w:rFonts w:ascii="Times New Roman" w:eastAsia="仿宋_GB2312" w:hAnsi="Times New Roman" w:cs="Times New Roman"/>
          <w:kern w:val="0"/>
          <w:sz w:val="30"/>
          <w:szCs w:val="30"/>
        </w:rPr>
        <w:t>号）等相关文件规定借入外债。</w:t>
      </w:r>
    </w:p>
    <w:p w:rsidR="00F83940" w:rsidRDefault="00F83940">
      <w:pPr>
        <w:widowControl/>
        <w:spacing w:line="384" w:lineRule="auto"/>
        <w:jc w:val="left"/>
        <w:rPr>
          <w:rFonts w:ascii="Times New Roman" w:eastAsia="仿宋_GB2312" w:hAnsi="Times New Roman" w:cs="Times New Roman"/>
          <w:kern w:val="0"/>
          <w:sz w:val="30"/>
          <w:szCs w:val="30"/>
        </w:rPr>
      </w:pPr>
    </w:p>
    <w:p w:rsidR="00F83940" w:rsidRDefault="00F83940">
      <w:pPr>
        <w:widowControl/>
        <w:spacing w:line="384" w:lineRule="auto"/>
        <w:jc w:val="left"/>
        <w:rPr>
          <w:rFonts w:ascii="Times New Roman" w:eastAsia="仿宋_GB2312" w:hAnsi="Times New Roman" w:cs="Times New Roman"/>
          <w:kern w:val="0"/>
          <w:sz w:val="30"/>
          <w:szCs w:val="30"/>
        </w:rPr>
      </w:pPr>
    </w:p>
    <w:sectPr w:rsidR="00F83940">
      <w:headerReference w:type="even" r:id="rId9"/>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2B" w:rsidRDefault="002A362B">
      <w:r>
        <w:separator/>
      </w:r>
    </w:p>
  </w:endnote>
  <w:endnote w:type="continuationSeparator" w:id="0">
    <w:p w:rsidR="002A362B" w:rsidRDefault="002A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40" w:rsidRDefault="002A362B">
    <w:pPr>
      <w:pStyle w:val="a6"/>
      <w:jc w:val="center"/>
    </w:pPr>
    <w:r>
      <w:fldChar w:fldCharType="begin"/>
    </w:r>
    <w:r>
      <w:instrText xml:space="preserve"> PAGE   \* MERGEFORMAT </w:instrText>
    </w:r>
    <w:r>
      <w:fldChar w:fldCharType="separate"/>
    </w:r>
    <w:r w:rsidR="00653741" w:rsidRPr="00653741">
      <w:rPr>
        <w:noProof/>
        <w:lang w:val="zh-CN"/>
      </w:rPr>
      <w:t>9</w:t>
    </w:r>
    <w:r>
      <w:rPr>
        <w:lang w:val="zh-CN"/>
      </w:rPr>
      <w:fldChar w:fldCharType="end"/>
    </w:r>
  </w:p>
  <w:p w:rsidR="00F83940" w:rsidRDefault="00F839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2B" w:rsidRDefault="002A362B">
      <w:r>
        <w:separator/>
      </w:r>
    </w:p>
  </w:footnote>
  <w:footnote w:type="continuationSeparator" w:id="0">
    <w:p w:rsidR="002A362B" w:rsidRDefault="002A362B">
      <w:r>
        <w:continuationSeparator/>
      </w:r>
    </w:p>
  </w:footnote>
  <w:footnote w:id="1">
    <w:p w:rsidR="00F83940" w:rsidRDefault="002A362B">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外币跨境融资以签约日的汇率水平折算。</w:t>
      </w:r>
    </w:p>
  </w:footnote>
  <w:footnote w:id="2">
    <w:p w:rsidR="00F83940" w:rsidRDefault="002A362B">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 </w:t>
      </w:r>
      <w:r>
        <w:rPr>
          <w:rFonts w:ascii="宋体" w:hAnsi="宋体" w:hint="eastAsia"/>
          <w:sz w:val="21"/>
          <w:szCs w:val="21"/>
        </w:rPr>
        <w:t>债务人类型请按以下分类填写：中资企业、外资企业。</w:t>
      </w:r>
    </w:p>
  </w:footnote>
  <w:footnote w:id="3">
    <w:p w:rsidR="00F83940" w:rsidRDefault="002A362B">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根据债务人上年度或最新的经审计的会计报表填写。</w:t>
      </w:r>
    </w:p>
  </w:footnote>
  <w:footnote w:id="4">
    <w:p w:rsidR="00F83940" w:rsidRDefault="002A362B">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跨境融资风险加权余额上限</w:t>
      </w:r>
      <w:r>
        <w:rPr>
          <w:rFonts w:ascii="宋体" w:hAnsi="宋体" w:hint="eastAsia"/>
          <w:sz w:val="21"/>
          <w:szCs w:val="21"/>
        </w:rPr>
        <w:t>=</w:t>
      </w:r>
      <w:r>
        <w:rPr>
          <w:rFonts w:ascii="宋体" w:hAnsi="宋体" w:hint="eastAsia"/>
          <w:sz w:val="21"/>
          <w:szCs w:val="21"/>
        </w:rPr>
        <w:t>净资产×外债杠杆率×宏观审慎调节参数。其中，宏观审慎条件参数的初始值设定为</w:t>
      </w:r>
      <w:r>
        <w:rPr>
          <w:rFonts w:ascii="宋体" w:hAnsi="宋体" w:hint="eastAsia"/>
          <w:sz w:val="21"/>
          <w:szCs w:val="21"/>
        </w:rPr>
        <w:t>1.25</w:t>
      </w:r>
      <w:r>
        <w:rPr>
          <w:rFonts w:ascii="宋体" w:hAnsi="宋体" w:hint="eastAsia"/>
          <w:sz w:val="21"/>
          <w:szCs w:val="21"/>
        </w:rPr>
        <w:t>，外债杠杆率初始值设定为</w:t>
      </w:r>
      <w:r>
        <w:rPr>
          <w:rFonts w:ascii="宋体" w:hAnsi="宋体" w:hint="eastAsia"/>
          <w:sz w:val="21"/>
          <w:szCs w:val="21"/>
        </w:rPr>
        <w:t>2</w:t>
      </w:r>
      <w:r>
        <w:rPr>
          <w:rFonts w:ascii="宋体" w:hAnsi="宋体" w:hint="eastAsia"/>
          <w:sz w:val="21"/>
          <w:szCs w:val="21"/>
        </w:rPr>
        <w:t>。</w:t>
      </w:r>
    </w:p>
  </w:footnote>
  <w:footnote w:id="5">
    <w:p w:rsidR="00F83940" w:rsidRDefault="002A362B">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纳入计算的中长期外债余额</w:t>
      </w:r>
      <w:r>
        <w:rPr>
          <w:rFonts w:ascii="宋体" w:hAnsi="宋体" w:hint="eastAsia"/>
          <w:sz w:val="21"/>
          <w:szCs w:val="21"/>
        </w:rPr>
        <w:t xml:space="preserve">= </w:t>
      </w:r>
      <w:r>
        <w:rPr>
          <w:rFonts w:ascii="宋体" w:hAnsi="宋体" w:hint="eastAsia"/>
          <w:sz w:val="21"/>
          <w:szCs w:val="21"/>
        </w:rPr>
        <w:t>中长期现有外债余额</w:t>
      </w:r>
      <w:r>
        <w:rPr>
          <w:rFonts w:ascii="宋体" w:hAnsi="宋体" w:hint="eastAsia"/>
          <w:sz w:val="21"/>
          <w:szCs w:val="21"/>
        </w:rPr>
        <w:t xml:space="preserve"> + </w:t>
      </w:r>
      <w:r>
        <w:rPr>
          <w:rFonts w:ascii="宋体" w:hAnsi="宋体" w:hint="eastAsia"/>
          <w:sz w:val="21"/>
          <w:szCs w:val="21"/>
        </w:rPr>
        <w:t>中长期本笔外债签约额</w:t>
      </w:r>
      <w:r>
        <w:rPr>
          <w:rFonts w:ascii="宋体" w:hAnsi="宋体" w:hint="eastAsia"/>
          <w:sz w:val="21"/>
          <w:szCs w:val="21"/>
        </w:rPr>
        <w:t xml:space="preserve"> </w:t>
      </w:r>
      <w:r>
        <w:rPr>
          <w:rFonts w:ascii="宋体" w:hAnsi="宋体"/>
          <w:sz w:val="21"/>
          <w:szCs w:val="21"/>
        </w:rPr>
        <w:t>–</w:t>
      </w:r>
      <w:r>
        <w:rPr>
          <w:rFonts w:ascii="宋体" w:hAnsi="宋体" w:hint="eastAsia"/>
          <w:sz w:val="21"/>
          <w:szCs w:val="21"/>
        </w:rPr>
        <w:t xml:space="preserve"> </w:t>
      </w:r>
      <w:r>
        <w:rPr>
          <w:rFonts w:ascii="宋体" w:hAnsi="宋体" w:hint="eastAsia"/>
          <w:sz w:val="21"/>
          <w:szCs w:val="21"/>
        </w:rPr>
        <w:t>不纳入计算的业务类型的中长期外债余额。纳入计算的短期外债和外币外债余额参照此公式计算。</w:t>
      </w:r>
    </w:p>
  </w:footnote>
  <w:footnote w:id="6">
    <w:p w:rsidR="00F83940" w:rsidRDefault="002A362B">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 </w:t>
      </w:r>
      <w:r>
        <w:rPr>
          <w:rFonts w:ascii="宋体" w:hAnsi="宋体" w:hint="eastAsia"/>
          <w:sz w:val="21"/>
          <w:szCs w:val="21"/>
        </w:rPr>
        <w:t>跨境融资风险加权余额</w:t>
      </w:r>
      <w:r>
        <w:rPr>
          <w:rFonts w:ascii="宋体" w:hAnsi="宋体" w:hint="eastAsia"/>
          <w:sz w:val="21"/>
          <w:szCs w:val="21"/>
        </w:rPr>
        <w:t>=</w:t>
      </w:r>
      <w:r>
        <w:rPr>
          <w:rFonts w:ascii="宋体" w:hAnsi="宋体" w:hint="eastAsia"/>
          <w:sz w:val="21"/>
          <w:szCs w:val="21"/>
        </w:rPr>
        <w:t>纳入计算的中长期外债余额×中长期外债期限风险转换因子</w:t>
      </w:r>
      <w:r>
        <w:rPr>
          <w:rFonts w:ascii="宋体" w:hAnsi="宋体" w:hint="eastAsia"/>
          <w:sz w:val="21"/>
          <w:szCs w:val="21"/>
        </w:rPr>
        <w:t>+</w:t>
      </w:r>
      <w:r>
        <w:rPr>
          <w:rFonts w:ascii="宋体" w:hAnsi="宋体" w:hint="eastAsia"/>
          <w:sz w:val="21"/>
          <w:szCs w:val="21"/>
        </w:rPr>
        <w:t>纳入计算的短期外债余额×短期外债期限风险转换因子</w:t>
      </w:r>
      <w:r>
        <w:rPr>
          <w:rFonts w:ascii="宋体" w:hAnsi="宋体" w:hint="eastAsia"/>
          <w:sz w:val="21"/>
          <w:szCs w:val="21"/>
        </w:rPr>
        <w:t>+</w:t>
      </w:r>
      <w:r>
        <w:rPr>
          <w:rFonts w:ascii="宋体" w:hAnsi="宋体" w:hint="eastAsia"/>
          <w:sz w:val="21"/>
          <w:szCs w:val="21"/>
        </w:rPr>
        <w:t>纳入计算的外币外债余额×汇率风险折算因子。其中，中长期、短期外债期限风险转换因子分别为</w:t>
      </w:r>
      <w:r>
        <w:rPr>
          <w:rFonts w:ascii="宋体" w:hAnsi="宋体" w:hint="eastAsia"/>
          <w:sz w:val="21"/>
          <w:szCs w:val="21"/>
        </w:rPr>
        <w:t>1</w:t>
      </w:r>
      <w:r>
        <w:rPr>
          <w:rFonts w:ascii="宋体" w:hAnsi="宋体" w:hint="eastAsia"/>
          <w:sz w:val="21"/>
          <w:szCs w:val="21"/>
        </w:rPr>
        <w:t>、</w:t>
      </w:r>
      <w:r>
        <w:rPr>
          <w:rFonts w:ascii="宋体" w:hAnsi="宋体" w:hint="eastAsia"/>
          <w:sz w:val="21"/>
          <w:szCs w:val="21"/>
        </w:rPr>
        <w:t>1.5</w:t>
      </w:r>
      <w:r>
        <w:rPr>
          <w:rFonts w:ascii="宋体" w:hAnsi="宋体" w:hint="eastAsia"/>
          <w:sz w:val="21"/>
          <w:szCs w:val="21"/>
        </w:rPr>
        <w:t>；汇率风险折算因子为</w:t>
      </w:r>
      <w:r>
        <w:rPr>
          <w:rFonts w:ascii="宋体" w:hAnsi="宋体" w:hint="eastAsia"/>
          <w:sz w:val="21"/>
          <w:szCs w:val="21"/>
        </w:rPr>
        <w:t>0.5</w:t>
      </w:r>
      <w:r>
        <w:rPr>
          <w:rFonts w:ascii="宋体" w:hAnsi="宋体" w:hint="eastAsia"/>
          <w:sz w:val="21"/>
          <w:szCs w:val="21"/>
        </w:rPr>
        <w:t>。</w:t>
      </w:r>
    </w:p>
  </w:footnote>
  <w:footnote w:id="7">
    <w:p w:rsidR="00F83940" w:rsidRDefault="002A362B">
      <w:pPr>
        <w:pStyle w:val="a8"/>
        <w:rPr>
          <w:rFonts w:ascii="宋体" w:hAnsi="宋体"/>
        </w:rPr>
      </w:pPr>
      <w:r>
        <w:rPr>
          <w:rStyle w:val="ab"/>
          <w:rFonts w:ascii="宋体" w:hAnsi="宋体"/>
        </w:rPr>
        <w:footnoteRef/>
      </w:r>
      <w:r>
        <w:rPr>
          <w:rFonts w:ascii="宋体" w:hAnsi="宋体" w:hint="eastAsia"/>
        </w:rPr>
        <w:t>外币跨境融资以签约日的汇率水平折算。</w:t>
      </w:r>
    </w:p>
  </w:footnote>
  <w:footnote w:id="8">
    <w:p w:rsidR="00F83940" w:rsidRDefault="002A362B">
      <w:pPr>
        <w:pStyle w:val="a8"/>
        <w:rPr>
          <w:rFonts w:ascii="宋体" w:hAnsi="宋体"/>
        </w:rPr>
      </w:pPr>
      <w:r>
        <w:rPr>
          <w:rStyle w:val="ab"/>
          <w:rFonts w:ascii="宋体" w:hAnsi="宋体"/>
        </w:rPr>
        <w:footnoteRef/>
      </w:r>
      <w:r>
        <w:rPr>
          <w:rFonts w:ascii="宋体" w:hAnsi="宋体" w:hint="eastAsia"/>
        </w:rPr>
        <w:t xml:space="preserve"> </w:t>
      </w:r>
      <w:r>
        <w:rPr>
          <w:rFonts w:ascii="宋体" w:hAnsi="宋体" w:hint="eastAsia"/>
        </w:rPr>
        <w:t>债务人类型请按以下分类填写：中资企业、外资企业。</w:t>
      </w:r>
    </w:p>
  </w:footnote>
  <w:footnote w:id="9">
    <w:p w:rsidR="00F83940" w:rsidRDefault="002A362B">
      <w:pPr>
        <w:pStyle w:val="a8"/>
        <w:rPr>
          <w:rFonts w:ascii="宋体" w:hAnsi="宋体"/>
        </w:rPr>
      </w:pPr>
      <w:r>
        <w:rPr>
          <w:rStyle w:val="ab"/>
          <w:rFonts w:ascii="宋体" w:hAnsi="宋体"/>
        </w:rPr>
        <w:footnoteRef/>
      </w:r>
      <w:r>
        <w:rPr>
          <w:rFonts w:ascii="宋体" w:hAnsi="宋体" w:hint="eastAsia"/>
        </w:rPr>
        <w:t>根据债务人上年度或最新的经审计的会计报表填写。</w:t>
      </w:r>
    </w:p>
  </w:footnote>
  <w:footnote w:id="10">
    <w:p w:rsidR="00F83940" w:rsidRDefault="002A362B">
      <w:pPr>
        <w:pStyle w:val="a8"/>
        <w:rPr>
          <w:rFonts w:ascii="宋体" w:hAnsi="宋体"/>
        </w:rPr>
      </w:pPr>
      <w:r>
        <w:rPr>
          <w:rStyle w:val="ab"/>
          <w:rFonts w:ascii="宋体" w:hAnsi="宋体"/>
        </w:rPr>
        <w:footnoteRef/>
      </w:r>
      <w:r>
        <w:rPr>
          <w:rFonts w:ascii="宋体" w:hAnsi="宋体" w:hint="eastAsia"/>
        </w:rPr>
        <w:t>跨境融资风险加权余额上限</w:t>
      </w:r>
      <w:r>
        <w:rPr>
          <w:rFonts w:ascii="宋体" w:hAnsi="宋体" w:hint="eastAsia"/>
        </w:rPr>
        <w:t>=</w:t>
      </w:r>
      <w:r>
        <w:rPr>
          <w:rFonts w:ascii="宋体" w:hAnsi="宋体" w:hint="eastAsia"/>
        </w:rPr>
        <w:t>净资产×外债杠杆率×宏观审慎调节参数。其中，宏观审慎条件参数的初始值设定为</w:t>
      </w:r>
      <w:r>
        <w:rPr>
          <w:rFonts w:ascii="宋体" w:hAnsi="宋体" w:hint="eastAsia"/>
        </w:rPr>
        <w:t>1.25</w:t>
      </w:r>
      <w:r>
        <w:rPr>
          <w:rFonts w:ascii="宋体" w:hAnsi="宋体" w:hint="eastAsia"/>
        </w:rPr>
        <w:t>，外</w:t>
      </w:r>
      <w:r>
        <w:rPr>
          <w:rFonts w:ascii="宋体" w:hAnsi="宋体" w:hint="eastAsia"/>
        </w:rPr>
        <w:t>债杠杆率初始值设定为</w:t>
      </w:r>
      <w:r>
        <w:rPr>
          <w:rFonts w:ascii="宋体" w:hAnsi="宋体" w:hint="eastAsia"/>
        </w:rPr>
        <w:t>2</w:t>
      </w:r>
      <w:r>
        <w:rPr>
          <w:rFonts w:ascii="宋体" w:hAnsi="宋体" w:hint="eastAsia"/>
        </w:rPr>
        <w:t>。</w:t>
      </w:r>
    </w:p>
  </w:footnote>
  <w:footnote w:id="11">
    <w:p w:rsidR="00F83940" w:rsidRDefault="002A362B">
      <w:pPr>
        <w:pStyle w:val="a8"/>
        <w:rPr>
          <w:rFonts w:ascii="宋体" w:hAnsi="宋体"/>
        </w:rPr>
      </w:pPr>
      <w:r>
        <w:rPr>
          <w:rStyle w:val="ab"/>
          <w:rFonts w:ascii="宋体" w:hAnsi="宋体"/>
        </w:rPr>
        <w:footnoteRef/>
      </w:r>
      <w:r>
        <w:rPr>
          <w:rFonts w:ascii="宋体" w:hAnsi="宋体" w:hint="eastAsia"/>
        </w:rPr>
        <w:t>纳入计算的中长期外债余额</w:t>
      </w:r>
      <w:r>
        <w:rPr>
          <w:rFonts w:ascii="宋体" w:hAnsi="宋体" w:hint="eastAsia"/>
        </w:rPr>
        <w:t xml:space="preserve">= </w:t>
      </w:r>
      <w:r>
        <w:rPr>
          <w:rFonts w:ascii="宋体" w:hAnsi="宋体" w:hint="eastAsia"/>
        </w:rPr>
        <w:t>中长期现有外债余额</w:t>
      </w:r>
      <w:r>
        <w:rPr>
          <w:rFonts w:ascii="宋体" w:hAnsi="宋体" w:hint="eastAsia"/>
        </w:rPr>
        <w:t xml:space="preserve"> + </w:t>
      </w:r>
      <w:r>
        <w:rPr>
          <w:rFonts w:ascii="宋体" w:hAnsi="宋体" w:hint="eastAsia"/>
        </w:rPr>
        <w:t>中长期本笔外债签约额</w:t>
      </w:r>
      <w:r>
        <w:rPr>
          <w:rFonts w:ascii="宋体" w:hAnsi="宋体" w:hint="eastAsia"/>
        </w:rPr>
        <w:t xml:space="preserve"> </w:t>
      </w:r>
      <w:r>
        <w:rPr>
          <w:rFonts w:ascii="宋体" w:hAnsi="宋体"/>
        </w:rPr>
        <w:t>–</w:t>
      </w:r>
      <w:r>
        <w:rPr>
          <w:rFonts w:ascii="宋体" w:hAnsi="宋体" w:hint="eastAsia"/>
        </w:rPr>
        <w:t xml:space="preserve"> </w:t>
      </w:r>
      <w:r>
        <w:rPr>
          <w:rFonts w:ascii="宋体" w:hAnsi="宋体" w:hint="eastAsia"/>
        </w:rPr>
        <w:t>不纳入计算的业务类型的中长期外债余额。纳入计算的短期外债和外币外债余额参照此公式计算。</w:t>
      </w:r>
    </w:p>
  </w:footnote>
  <w:footnote w:id="12">
    <w:p w:rsidR="00F83940" w:rsidRDefault="002A362B">
      <w:pPr>
        <w:pStyle w:val="a8"/>
        <w:rPr>
          <w:rFonts w:ascii="宋体" w:hAnsi="宋体"/>
        </w:rPr>
      </w:pPr>
      <w:r>
        <w:rPr>
          <w:rStyle w:val="ab"/>
          <w:rFonts w:ascii="宋体" w:hAnsi="宋体"/>
        </w:rPr>
        <w:footnoteRef/>
      </w:r>
      <w:r>
        <w:rPr>
          <w:rFonts w:ascii="宋体" w:hAnsi="宋体" w:hint="eastAsia"/>
        </w:rPr>
        <w:t xml:space="preserve"> </w:t>
      </w:r>
      <w:r>
        <w:rPr>
          <w:rFonts w:ascii="宋体" w:hAnsi="宋体" w:hint="eastAsia"/>
        </w:rPr>
        <w:t>跨境融资风险加权余额</w:t>
      </w:r>
      <w:r>
        <w:rPr>
          <w:rFonts w:ascii="宋体" w:hAnsi="宋体" w:hint="eastAsia"/>
        </w:rPr>
        <w:t>=</w:t>
      </w:r>
      <w:r>
        <w:rPr>
          <w:rFonts w:ascii="宋体" w:hAnsi="宋体" w:hint="eastAsia"/>
        </w:rPr>
        <w:t>纳入计算的中长期外债余额×中长期外债期限风险转换因子</w:t>
      </w:r>
      <w:r>
        <w:rPr>
          <w:rFonts w:ascii="宋体" w:hAnsi="宋体" w:hint="eastAsia"/>
        </w:rPr>
        <w:t>+</w:t>
      </w:r>
      <w:r>
        <w:rPr>
          <w:rFonts w:ascii="宋体" w:hAnsi="宋体" w:hint="eastAsia"/>
        </w:rPr>
        <w:t>纳入计算的短期外债余额×短期外债期限风险转换因子</w:t>
      </w:r>
      <w:r>
        <w:rPr>
          <w:rFonts w:ascii="宋体" w:hAnsi="宋体" w:hint="eastAsia"/>
        </w:rPr>
        <w:t>+</w:t>
      </w:r>
      <w:r>
        <w:rPr>
          <w:rFonts w:ascii="宋体" w:hAnsi="宋体" w:hint="eastAsia"/>
        </w:rPr>
        <w:t>纳入计算的外币外债余额×汇率风险折算因子。其中，中长期、短期外债期限风险转换因子分别为</w:t>
      </w:r>
      <w:r>
        <w:rPr>
          <w:rFonts w:ascii="宋体" w:hAnsi="宋体" w:hint="eastAsia"/>
        </w:rPr>
        <w:t>1</w:t>
      </w:r>
      <w:r>
        <w:rPr>
          <w:rFonts w:ascii="宋体" w:hAnsi="宋体" w:hint="eastAsia"/>
        </w:rPr>
        <w:t>、</w:t>
      </w:r>
      <w:r>
        <w:rPr>
          <w:rFonts w:ascii="宋体" w:hAnsi="宋体" w:hint="eastAsia"/>
        </w:rPr>
        <w:t>1.5</w:t>
      </w:r>
      <w:r>
        <w:rPr>
          <w:rFonts w:ascii="宋体" w:hAnsi="宋体" w:hint="eastAsia"/>
        </w:rPr>
        <w:t>；汇率风险折算因子为</w:t>
      </w:r>
      <w:r>
        <w:rPr>
          <w:rFonts w:ascii="宋体" w:hAnsi="宋体" w:hint="eastAsia"/>
        </w:rPr>
        <w:t>0.5</w:t>
      </w:r>
      <w:r>
        <w:rPr>
          <w:rFonts w:ascii="宋体" w:hAnsi="宋体"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40" w:rsidRDefault="00F83940">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40" w:rsidRDefault="00F8394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abstractNum w:abstractNumId="2">
    <w:nsid w:val="5A11074E"/>
    <w:multiLevelType w:val="singleLevel"/>
    <w:tmpl w:val="5A11074E"/>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5DA"/>
    <w:rsid w:val="00004BFB"/>
    <w:rsid w:val="000137EF"/>
    <w:rsid w:val="00067BA3"/>
    <w:rsid w:val="000A3D58"/>
    <w:rsid w:val="000B7295"/>
    <w:rsid w:val="000E3B9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201E9C"/>
    <w:rsid w:val="00216D83"/>
    <w:rsid w:val="0024098D"/>
    <w:rsid w:val="00246DA6"/>
    <w:rsid w:val="002A0385"/>
    <w:rsid w:val="002A362B"/>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E46F2"/>
    <w:rsid w:val="00402008"/>
    <w:rsid w:val="00420920"/>
    <w:rsid w:val="00445063"/>
    <w:rsid w:val="00465A6A"/>
    <w:rsid w:val="00472CC1"/>
    <w:rsid w:val="00495950"/>
    <w:rsid w:val="004A78ED"/>
    <w:rsid w:val="004D61BC"/>
    <w:rsid w:val="005A6271"/>
    <w:rsid w:val="005A7267"/>
    <w:rsid w:val="005C14C5"/>
    <w:rsid w:val="005C1682"/>
    <w:rsid w:val="005F215A"/>
    <w:rsid w:val="00602D96"/>
    <w:rsid w:val="0060572A"/>
    <w:rsid w:val="00606B3D"/>
    <w:rsid w:val="00621CA0"/>
    <w:rsid w:val="00624074"/>
    <w:rsid w:val="00626BEE"/>
    <w:rsid w:val="00631264"/>
    <w:rsid w:val="00643652"/>
    <w:rsid w:val="006461FE"/>
    <w:rsid w:val="00653741"/>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A21BD"/>
    <w:rsid w:val="008A6DB9"/>
    <w:rsid w:val="008B2F45"/>
    <w:rsid w:val="008D423A"/>
    <w:rsid w:val="008F3F5E"/>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E47A2"/>
    <w:rsid w:val="00C05618"/>
    <w:rsid w:val="00C125D3"/>
    <w:rsid w:val="00C14BC3"/>
    <w:rsid w:val="00C1742A"/>
    <w:rsid w:val="00C91A20"/>
    <w:rsid w:val="00C94951"/>
    <w:rsid w:val="00CA6854"/>
    <w:rsid w:val="00CB7187"/>
    <w:rsid w:val="00CC0B48"/>
    <w:rsid w:val="00CD76A0"/>
    <w:rsid w:val="00CF08E1"/>
    <w:rsid w:val="00D15895"/>
    <w:rsid w:val="00D203C1"/>
    <w:rsid w:val="00D217AF"/>
    <w:rsid w:val="00D32DE2"/>
    <w:rsid w:val="00D43501"/>
    <w:rsid w:val="00D845DA"/>
    <w:rsid w:val="00D85267"/>
    <w:rsid w:val="00DC0A6A"/>
    <w:rsid w:val="00DC7DB0"/>
    <w:rsid w:val="00DD575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83940"/>
    <w:rsid w:val="00FA003D"/>
    <w:rsid w:val="00FE2C20"/>
    <w:rsid w:val="1AAB48FE"/>
    <w:rsid w:val="33985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allout" idref="#线形标注 3 95"/>
        <o:r id="V:Rule2" type="connector" idref="#AutoShape 9"/>
        <o:r id="V:Rule3" type="connector" idref="#AutoShape 11"/>
        <o:r id="V:Rule4" type="connector" idref="#AutoShape 10"/>
        <o:r id="V:Rule5" type="connector" idref="#AutoShape 17"/>
        <o:r id="V:Rule6" type="connector" idref="#AutoShape 15"/>
        <o:r id="V:Rule7" type="connector" idref="#AutoShape 12"/>
        <o:r id="V:Rule8" type="connector" idref="#AutoShape 13"/>
        <o:r id="V:Rule9" type="connector" idref="#AutoShape 27"/>
        <o:r id="V:Rule10" type="connector" idref="#AutoShape 29"/>
        <o:r id="V:Rule11" type="connector" idref="#AutoShape 33"/>
        <o:r id="V:Rule12" type="connector" idref="#AutoShape 30"/>
        <o:r id="V:Rule13" type="connector" idref="#AutoShape 19"/>
        <o:r id="V:Rule14" type="connector" idref="#AutoShape 38"/>
        <o:r id="V:Rule15" type="connector" idref="#AutoShape 26"/>
        <o:r id="V:Rule16" type="connector" idref="#AutoShape 34"/>
        <o:r id="V:Rule17" type="connector" idref="#AutoShape 35"/>
      </o:rules>
    </o:shapelayout>
  </w:shapeDefaults>
  <w:decimalSymbol w:val="."/>
  <w:listSeparator w:val=","/>
  <w15:docId w15:val="{05B48CAD-6D6B-40B2-8A0E-E04AAD2F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footnote reference"/>
    <w:unhideWhenUsed/>
    <w:qFormat/>
    <w:rPr>
      <w:rFonts w:ascii="Times New Roman" w:hAnsi="Times New Roman" w:cs="Times New Roman"/>
      <w:vertAlign w:val="superscript"/>
    </w:rPr>
  </w:style>
  <w:style w:type="paragraph" w:customStyle="1" w:styleId="10">
    <w:name w:val="列出段落1"/>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paragraph" w:customStyle="1" w:styleId="12">
    <w:name w:val="修订1"/>
    <w:hidden/>
    <w:uiPriority w:val="99"/>
    <w:semiHidden/>
    <w:qFormat/>
    <w:rPr>
      <w:rFonts w:ascii="Calibri" w:hAnsi="Calibri" w:cs="黑体"/>
      <w:kern w:val="2"/>
      <w:sz w:val="21"/>
      <w:szCs w:val="22"/>
    </w:rPr>
  </w:style>
  <w:style w:type="character" w:customStyle="1" w:styleId="1Char">
    <w:name w:val="标题 1 Char"/>
    <w:link w:val="1"/>
    <w:uiPriority w:val="9"/>
    <w:rPr>
      <w:rFonts w:ascii="黑体" w:eastAsia="黑体" w:hAnsi="黑体" w:cs="宋体"/>
      <w:color w:val="000000"/>
      <w:kern w:val="0"/>
      <w:sz w:val="30"/>
      <w:szCs w:val="30"/>
    </w:r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3Char">
    <w:name w:val="标题 3 Char"/>
    <w:link w:val="3"/>
    <w:uiPriority w:val="9"/>
    <w:rPr>
      <w:rFonts w:ascii="仿宋_GB2312" w:eastAsia="仿宋_GB2312" w:hAnsi="Calibri" w:cs="Times New Roman"/>
      <w:sz w:val="30"/>
      <w:szCs w:val="30"/>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rPr>
      <w:sz w:val="18"/>
      <w:szCs w:val="18"/>
    </w:rPr>
  </w:style>
  <w:style w:type="character" w:customStyle="1" w:styleId="Char10">
    <w:name w:val="批注框文本 Char1"/>
    <w:uiPriority w:val="99"/>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uiPriority w:val="99"/>
    <w:qFormat/>
    <w:rPr>
      <w:rFonts w:ascii="Calibri" w:eastAsia="宋体" w:hAnsi="Calibri" w:cs="Times New Roman"/>
    </w:rPr>
  </w:style>
  <w:style w:type="character" w:customStyle="1" w:styleId="Char4">
    <w:name w:val="脚注文本 Char"/>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rPr>
      <w:rFonts w:ascii="宋体"/>
      <w:sz w:val="18"/>
      <w:szCs w:val="18"/>
    </w:rPr>
  </w:style>
  <w:style w:type="character" w:customStyle="1" w:styleId="13">
    <w:name w:val="明显强调1"/>
    <w:uiPriority w:val="21"/>
    <w:qFormat/>
    <w:rPr>
      <w:b/>
      <w:bCs/>
      <w:i/>
      <w:iCs/>
      <w:color w:val="4F81BD"/>
    </w:rPr>
  </w:style>
  <w:style w:type="character" w:customStyle="1" w:styleId="Char11">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984</Words>
  <Characters>5613</Characters>
  <Application>Microsoft Office Word</Application>
  <DocSecurity>0</DocSecurity>
  <Lines>46</Lines>
  <Paragraphs>13</Paragraphs>
  <ScaleCrop>false</ScaleCrop>
  <Company>Lenovo (Beijing) Limited</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编号：57006                 _x0001_</dc:title>
  <dc:creator>朱敏1</dc:creator>
  <cp:lastModifiedBy>孟田</cp:lastModifiedBy>
  <cp:revision>1</cp:revision>
  <cp:lastPrinted>2020-07-02T08:51:00Z</cp:lastPrinted>
  <dcterms:created xsi:type="dcterms:W3CDTF">2020-06-28T02:12:00Z</dcterms:created>
  <dcterms:modified xsi:type="dcterms:W3CDTF">2021-02-04T07:03:00Z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