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E2" w:rsidRDefault="0041722C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>57013</w:t>
      </w:r>
      <w:r>
        <w:rPr>
          <w:rFonts w:ascii="Times New Roman" w:eastAsia="黑体" w:hAnsi="Times New Roman" w:cs="Times New Roman" w:hint="eastAsia"/>
          <w:sz w:val="48"/>
          <w:szCs w:val="48"/>
        </w:rPr>
        <w:t xml:space="preserve">               </w:t>
      </w:r>
      <w:r w:rsidR="00D347FB">
        <w:rPr>
          <w:rFonts w:ascii="Times New Roman" w:eastAsia="黑体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87pt;height:69.75pt">
            <v:imagedata r:id="rId7" o:title=""/>
          </v:shape>
        </w:pict>
      </w:r>
    </w:p>
    <w:p w:rsidR="004061E2" w:rsidRDefault="004061E2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4061E2" w:rsidRDefault="004061E2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4061E2" w:rsidRDefault="004061E2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4061E2" w:rsidRDefault="004061E2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4061E2" w:rsidRDefault="0041722C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银行、农村信用社、兑换机构及非金融机构等结汇、售汇业务市场准入、退出审批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</w:t>
      </w:r>
    </w:p>
    <w:p w:rsidR="004061E2" w:rsidRDefault="0041722C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服务指南</w:t>
      </w:r>
    </w:p>
    <w:p w:rsidR="004061E2" w:rsidRDefault="004061E2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4061E2" w:rsidRDefault="004061E2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4061E2" w:rsidRDefault="004061E2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4061E2" w:rsidRDefault="004061E2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4061E2" w:rsidRDefault="004061E2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4061E2" w:rsidRDefault="004061E2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4061E2" w:rsidRDefault="0041722C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发布日期：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28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4061E2" w:rsidRDefault="0041722C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实施日期：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28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4061E2" w:rsidRDefault="0041722C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</w:p>
    <w:p w:rsidR="004061E2" w:rsidRDefault="004061E2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4061E2" w:rsidRDefault="004061E2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4061E2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061E2" w:rsidRDefault="0041722C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4061E2" w:rsidRDefault="0041722C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 w:rsidR="004061E2" w:rsidRDefault="0041722C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57013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4061E2" w:rsidRDefault="0041722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4061E2" w:rsidRDefault="0041722C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4061E2" w:rsidRDefault="0041722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银行、农村信用社、兑换机构及非金融机构等结汇、售汇业务市场准入、退出审批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4061E2" w:rsidRDefault="0041722C"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4061E2" w:rsidRDefault="0041722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号）第二十四条：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金融机构经营或者终止经营结汇、售汇业务，应当经外汇管理机关批准；经营或者终止经营其他外汇业务，应当按照职责分工经外汇管理机关或者金融业监督管理机构批准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4061E2" w:rsidRDefault="0041722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号）第五十三条：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非金融机构经营结汇、售汇业务，应当由国务院外汇管理部门批准，具体管理办法由国务院外汇管理部门另行制定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4061E2" w:rsidRDefault="0041722C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四、银行（含农村信用社）即期结售汇业务市场准入</w:t>
      </w:r>
    </w:p>
    <w:p w:rsidR="004061E2" w:rsidRDefault="0041722C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《银行办理结售汇业务管理办法》（中国人民银行令</w:t>
      </w:r>
      <w:r>
        <w:rPr>
          <w:rFonts w:ascii="Times New Roman" w:eastAsia="仿宋_GB2312" w:hAnsi="Times New Roman" w:cs="Times New Roman"/>
          <w:sz w:val="30"/>
        </w:rPr>
        <w:t>〔</w:t>
      </w:r>
      <w:r>
        <w:rPr>
          <w:rFonts w:ascii="Times New Roman" w:eastAsia="仿宋_GB2312" w:hAnsi="Times New Roman" w:cs="Times New Roman"/>
          <w:sz w:val="30"/>
        </w:rPr>
        <w:t>2014</w:t>
      </w:r>
      <w:r>
        <w:rPr>
          <w:rFonts w:ascii="Times New Roman" w:eastAsia="仿宋_GB2312" w:hAnsi="Times New Roman" w:cs="Times New Roman"/>
          <w:sz w:val="30"/>
        </w:rPr>
        <w:t>〕</w:t>
      </w:r>
      <w:r>
        <w:rPr>
          <w:rFonts w:ascii="Times New Roman" w:eastAsia="仿宋_GB2312" w:hAnsi="Times New Roman" w:cs="Times New Roman"/>
          <w:sz w:val="30"/>
          <w:szCs w:val="30"/>
        </w:rPr>
        <w:t>第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《国家外汇管理局关于印发〈银行办理结售汇业务管理办法实施细则〉的通知》（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汇发</w:t>
      </w:r>
      <w:r>
        <w:rPr>
          <w:rFonts w:ascii="Times New Roman" w:eastAsia="仿宋_GB2312" w:hAnsi="Times New Roman" w:cs="Times New Roman"/>
          <w:sz w:val="30"/>
        </w:rPr>
        <w:t>〔</w:t>
      </w:r>
      <w:r>
        <w:rPr>
          <w:rFonts w:ascii="Times New Roman" w:eastAsia="仿宋_GB2312" w:hAnsi="Times New Roman" w:cs="Times New Roman"/>
          <w:sz w:val="30"/>
        </w:rPr>
        <w:t>2014</w:t>
      </w:r>
      <w:r>
        <w:rPr>
          <w:rFonts w:ascii="Times New Roman" w:eastAsia="仿宋_GB2312" w:hAnsi="Times New Roman" w:cs="Times New Roman"/>
          <w:sz w:val="30"/>
        </w:rPr>
        <w:t>〕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53</w:t>
      </w:r>
      <w:r>
        <w:rPr>
          <w:rFonts w:ascii="Times New Roman" w:eastAsia="仿宋_GB2312" w:hAnsi="Times New Roman" w:cs="Times New Roman"/>
          <w:sz w:val="30"/>
          <w:szCs w:val="30"/>
        </w:rPr>
        <w:t>号）。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（二）受理机构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银行总行。政策性银行、全国性商业银行，向国家外汇管理局申请；其他银行向所在地国家外汇管理局分局（外汇管理部）申请，如处于市（地、州、区）、县，应向所在地国家外汇管理局中心支局或支局申请，并逐级上报至国家外汇管理局分局（外汇管理部）。外国银行分行视同总行管理。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银行分支机构。向所在地国家外汇管理局分支局备案。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4061E2" w:rsidRDefault="0041722C">
      <w:pPr>
        <w:adjustRightInd w:val="0"/>
        <w:snapToGrid w:val="0"/>
        <w:spacing w:line="360" w:lineRule="auto"/>
        <w:ind w:firstLine="601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银行总行。政策性银行、全国性商业银行，决定机构为国家外汇管理局；其他银行决定机构为所在地国家外汇管理局分局（外汇管理部）。外国银行分行视同总行管理。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银行分支机构。决定机构为所在地国家外汇管理局分支局。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无数量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限制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申请人需同时符合以下条件：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具有金融业务资格。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具备完善的业务管理制度。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具备办理业务所必需的软硬件设备。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拥有具备相应业务工作经验的高级管理人员和业务人员。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银行需银行业监督管理部门批准外汇业务经营资格的，还应具备相应的外汇业务经营资格。</w:t>
      </w:r>
    </w:p>
    <w:p w:rsidR="004061E2" w:rsidRDefault="0041722C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（六）申请材料</w:t>
      </w:r>
    </w:p>
    <w:p w:rsidR="004061E2" w:rsidRDefault="0041722C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1.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银行总行申请即期结售汇业务市场准入</w:t>
      </w:r>
      <w:r>
        <w:rPr>
          <w:rFonts w:ascii="Times New Roman" w:eastAsia="仿宋_GB2312" w:hAnsi="Times New Roman" w:cs="Times New Roman"/>
          <w:sz w:val="30"/>
          <w:szCs w:val="30"/>
        </w:rPr>
        <w:t>材料清单</w:t>
      </w:r>
    </w:p>
    <w:tbl>
      <w:tblPr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567"/>
        <w:gridCol w:w="850"/>
        <w:gridCol w:w="2127"/>
        <w:gridCol w:w="497"/>
      </w:tblGrid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4061E2" w:rsidRDefault="004061E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4061E2" w:rsidRDefault="004061E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银行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办理结售汇业务的内部管理规章制度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应至少包括以下内容：结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。</w:t>
            </w:r>
          </w:p>
        </w:tc>
        <w:tc>
          <w:tcPr>
            <w:tcW w:w="497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需要经银行业监督管理部门批准外汇业务经营资格的，还应提交外汇业务许可文件的复印件。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银行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4061E2" w:rsidRDefault="0041722C">
      <w:pPr>
        <w:ind w:right="300"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银行分行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（含农村信用社）即期结售汇业务市场准入</w:t>
      </w:r>
      <w:r>
        <w:rPr>
          <w:rFonts w:ascii="Times New Roman" w:eastAsia="仿宋_GB2312" w:hAnsi="Times New Roman" w:cs="Times New Roman"/>
          <w:sz w:val="30"/>
          <w:szCs w:val="30"/>
        </w:rPr>
        <w:t>申请材料清单</w:t>
      </w:r>
    </w:p>
    <w:tbl>
      <w:tblPr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567"/>
        <w:gridCol w:w="850"/>
        <w:gridCol w:w="1276"/>
        <w:gridCol w:w="1348"/>
      </w:tblGrid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348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4061E2" w:rsidRDefault="004061E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4061E2" w:rsidRDefault="0041722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见附录二</w:t>
            </w: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《金融许可证》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电子</w:t>
            </w:r>
          </w:p>
        </w:tc>
        <w:tc>
          <w:tcPr>
            <w:tcW w:w="1276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4061E2" w:rsidRDefault="0041722C">
      <w:pPr>
        <w:ind w:right="3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银行支行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（含农村信用社）</w:t>
      </w:r>
      <w:r>
        <w:rPr>
          <w:rFonts w:ascii="Times New Roman" w:eastAsia="仿宋_GB2312" w:hAnsi="Times New Roman" w:cs="Times New Roman"/>
          <w:sz w:val="30"/>
          <w:szCs w:val="30"/>
        </w:rPr>
        <w:t>及下辖机构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即期结售汇业务市场准入</w:t>
      </w:r>
      <w:r>
        <w:rPr>
          <w:rFonts w:ascii="Times New Roman" w:eastAsia="仿宋_GB2312" w:hAnsi="Times New Roman" w:cs="Times New Roman"/>
          <w:sz w:val="30"/>
          <w:szCs w:val="30"/>
        </w:rPr>
        <w:t>申请材料清单</w:t>
      </w:r>
    </w:p>
    <w:tbl>
      <w:tblPr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993"/>
        <w:gridCol w:w="457"/>
        <w:gridCol w:w="818"/>
        <w:gridCol w:w="851"/>
        <w:gridCol w:w="1773"/>
      </w:tblGrid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76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8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851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73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3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851" w:type="dxa"/>
            <w:vAlign w:val="center"/>
          </w:tcPr>
          <w:p w:rsidR="004061E2" w:rsidRDefault="004061E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下辖机构可以由支行集中办理备案手续，见附录二</w:t>
            </w: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3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银行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公章的复印件</w:t>
            </w:r>
          </w:p>
        </w:tc>
        <w:tc>
          <w:tcPr>
            <w:tcW w:w="45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851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申请人可通过窗口、邮寄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、国家外汇管理局政务服务网上办理系统</w:t>
      </w:r>
      <w:r w:rsidR="00826641"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 w:rsidR="00826641">
        <w:rPr>
          <w:rFonts w:ascii="Times New Roman" w:eastAsia="仿宋_GB2312" w:hAnsi="Times New Roman" w:cs="Times New Roman" w:hint="eastAsia"/>
          <w:sz w:val="30"/>
          <w:szCs w:val="30"/>
        </w:rPr>
        <w:t>http://zwfw.safe.gov.cn/asone</w:t>
      </w:r>
      <w:r w:rsidR="00826641">
        <w:rPr>
          <w:rFonts w:ascii="Times New Roman" w:eastAsia="仿宋_GB2312" w:hAnsi="Times New Roman" w:cs="Times New Roman"/>
          <w:sz w:val="30"/>
          <w:szCs w:val="30"/>
        </w:rPr>
        <w:t>/</w:t>
      </w:r>
      <w:r w:rsidR="00826641"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等方式提交材料。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不予受理的，出具不予受理通知书；受理的，出具受理通知书，进行审查报批；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不予许可的，出具不予许可通知书。许可的，向申请人出具正式公文或备案表。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材料不全或不符合法定形式的，一次性告知补正材料，并出具《行政许可补正通知书》。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（九）办理方式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一般程序：申请、受理、审查、出具正式公文或备案表。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4061E2" w:rsidRDefault="0041722C">
      <w:pPr>
        <w:adjustRightInd w:val="0"/>
        <w:snapToGrid w:val="0"/>
        <w:spacing w:line="360" w:lineRule="auto"/>
        <w:ind w:leftChars="277" w:left="582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个工作日。办理过程中所需的现场验收等，不计入时限。</w:t>
      </w: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4061E2" w:rsidRDefault="0041722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正式公文或备案表。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通过现场告知或电话通知申请人，并通过现场领取或邮寄方式将结果送达。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规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办理相关业务。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（十五）事项审查类型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前审后批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（十六）办公地址和时间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国家外汇局管理局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  <w:r>
        <w:rPr>
          <w:rFonts w:ascii="Times New Roman" w:eastAsia="仿宋_GB2312" w:hAnsi="Times New Roman" w:cs="Times New Roman"/>
          <w:sz w:val="30"/>
          <w:szCs w:val="30"/>
        </w:rPr>
        <w:t>办公地址：</w:t>
      </w:r>
      <w:r w:rsidR="00826641" w:rsidRPr="00826641">
        <w:rPr>
          <w:rFonts w:ascii="Times New Roman" w:eastAsia="仿宋_GB2312" w:hAnsi="Times New Roman" w:cs="Times New Roman" w:hint="eastAsia"/>
          <w:sz w:val="30"/>
          <w:szCs w:val="30"/>
        </w:rPr>
        <w:t>江苏省南京市秦</w:t>
      </w:r>
      <w:proofErr w:type="gramStart"/>
      <w:r w:rsidR="00826641" w:rsidRPr="00826641">
        <w:rPr>
          <w:rFonts w:ascii="Times New Roman" w:eastAsia="仿宋_GB2312" w:hAnsi="Times New Roman" w:cs="Times New Roman" w:hint="eastAsia"/>
          <w:sz w:val="30"/>
          <w:szCs w:val="30"/>
        </w:rPr>
        <w:t>淮区朝天宫</w:t>
      </w:r>
      <w:proofErr w:type="gramEnd"/>
      <w:r w:rsidR="00826641" w:rsidRPr="00826641">
        <w:rPr>
          <w:rFonts w:ascii="Times New Roman" w:eastAsia="仿宋_GB2312" w:hAnsi="Times New Roman" w:cs="Times New Roman" w:hint="eastAsia"/>
          <w:sz w:val="30"/>
          <w:szCs w:val="30"/>
        </w:rPr>
        <w:t>街道建</w:t>
      </w:r>
      <w:proofErr w:type="gramStart"/>
      <w:r w:rsidR="00826641" w:rsidRPr="00826641">
        <w:rPr>
          <w:rFonts w:ascii="Times New Roman" w:eastAsia="仿宋_GB2312" w:hAnsi="Times New Roman" w:cs="Times New Roman" w:hint="eastAsia"/>
          <w:sz w:val="30"/>
          <w:szCs w:val="30"/>
        </w:rPr>
        <w:t>邺</w:t>
      </w:r>
      <w:proofErr w:type="gramEnd"/>
      <w:r w:rsidR="00826641" w:rsidRPr="00826641">
        <w:rPr>
          <w:rFonts w:ascii="Times New Roman" w:eastAsia="仿宋_GB2312" w:hAnsi="Times New Roman" w:cs="Times New Roman" w:hint="eastAsia"/>
          <w:sz w:val="30"/>
          <w:szCs w:val="30"/>
        </w:rPr>
        <w:t>路</w:t>
      </w:r>
      <w:r w:rsidR="00826641" w:rsidRPr="00826641">
        <w:rPr>
          <w:rFonts w:ascii="Times New Roman" w:eastAsia="仿宋_GB2312" w:hAnsi="Times New Roman" w:cs="Times New Roman" w:hint="eastAsia"/>
          <w:sz w:val="30"/>
          <w:szCs w:val="30"/>
        </w:rPr>
        <w:t>88</w:t>
      </w:r>
      <w:r w:rsidR="00826641" w:rsidRPr="00826641">
        <w:rPr>
          <w:rFonts w:ascii="Times New Roman" w:eastAsia="仿宋_GB2312" w:hAnsi="Times New Roman" w:cs="Times New Roman" w:hint="eastAsia"/>
          <w:sz w:val="30"/>
          <w:szCs w:val="30"/>
        </w:rPr>
        <w:t>号</w:t>
      </w:r>
      <w:bookmarkStart w:id="0" w:name="_GoBack"/>
      <w:bookmarkEnd w:id="0"/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国家外汇局管理局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  <w:r>
        <w:rPr>
          <w:rFonts w:ascii="Times New Roman" w:eastAsia="仿宋_GB2312" w:hAnsi="Times New Roman" w:cs="Times New Roman"/>
          <w:sz w:val="30"/>
          <w:szCs w:val="30"/>
        </w:rPr>
        <w:t>办公时间：工作日</w:t>
      </w:r>
      <w:r>
        <w:rPr>
          <w:rFonts w:ascii="Times New Roman" w:eastAsia="仿宋_GB2312" w:hAnsi="Times New Roman" w:cs="Times New Roman"/>
          <w:sz w:val="30"/>
          <w:szCs w:val="30"/>
        </w:rPr>
        <w:t>8: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0-17:00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（十七）禁止性要求</w:t>
      </w:r>
    </w:p>
    <w:p w:rsidR="004061E2" w:rsidRDefault="0041722C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如符合上述条件，不存在不予许可的情况。</w:t>
      </w:r>
    </w:p>
    <w:p w:rsidR="004061E2" w:rsidRDefault="0041722C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（十八）咨询途径</w:t>
      </w:r>
    </w:p>
    <w:p w:rsidR="004061E2" w:rsidRDefault="0041722C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电话、网址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4061E2" w:rsidRDefault="0041722C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（十九）办理进程和结果公开查询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向国家外汇管理局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  <w:r>
        <w:rPr>
          <w:rFonts w:ascii="Times New Roman" w:eastAsia="仿宋_GB2312" w:hAnsi="Times New Roman" w:cs="Times New Roman"/>
          <w:sz w:val="30"/>
          <w:szCs w:val="30"/>
        </w:rPr>
        <w:t>咨询、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进度查询</w:t>
      </w:r>
      <w:r>
        <w:rPr>
          <w:rFonts w:ascii="Times New Roman" w:eastAsia="仿宋_GB2312" w:hAnsi="Times New Roman" w:cs="Times New Roman"/>
          <w:sz w:val="30"/>
          <w:szCs w:val="30"/>
        </w:rPr>
        <w:t>可通过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电话、</w:t>
      </w:r>
      <w:r>
        <w:rPr>
          <w:rFonts w:ascii="Times New Roman" w:eastAsia="仿宋_GB2312" w:hAnsi="Times New Roman" w:cs="Times New Roman"/>
          <w:sz w:val="30"/>
          <w:szCs w:val="30"/>
        </w:rPr>
        <w:t>国家外汇管理局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  <w:r>
        <w:rPr>
          <w:rFonts w:ascii="Times New Roman" w:eastAsia="仿宋_GB2312" w:hAnsi="Times New Roman" w:cs="Times New Roman"/>
          <w:sz w:val="30"/>
          <w:szCs w:val="30"/>
        </w:rPr>
        <w:t>官方互联网站的相应栏目进行。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025-84790218</w:t>
      </w:r>
    </w:p>
    <w:p w:rsidR="004061E2" w:rsidRDefault="0041722C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网址：</w:t>
      </w:r>
      <w:r>
        <w:rPr>
          <w:rFonts w:ascii="Times New Roman" w:eastAsia="仿宋_GB2312" w:hAnsi="Times New Roman" w:cs="Times New Roman"/>
          <w:sz w:val="30"/>
          <w:szCs w:val="30"/>
        </w:rPr>
        <w:t>国家</w:t>
      </w:r>
      <w:r>
        <w:rPr>
          <w:rFonts w:ascii="Times New Roman" w:eastAsia="仿宋_GB2312" w:hAnsi="Times New Roman" w:cs="Times New Roman"/>
          <w:sz w:val="30"/>
          <w:szCs w:val="30"/>
          <w:lang w:val="zh-CN" w:bidi="zh-CN"/>
        </w:rPr>
        <w:t>外汇管理局官方互联网站</w:t>
      </w:r>
      <w:hyperlink r:id="rId9" w:history="1">
        <w:r w:rsidRPr="00826641">
          <w:rPr>
            <w:rFonts w:ascii="Times New Roman" w:eastAsia="仿宋_GB2312" w:hAnsi="Times New Roman" w:cs="Times New Roman"/>
            <w:sz w:val="30"/>
            <w:szCs w:val="30"/>
            <w:lang w:bidi="zh-CN"/>
          </w:rPr>
          <w:t>www.safe.gov.cn</w:t>
        </w:r>
      </w:hyperlink>
      <w:r>
        <w:rPr>
          <w:rFonts w:ascii="Times New Roman" w:eastAsia="仿宋_GB2312" w:hAnsi="Times New Roman" w:cs="Times New Roman" w:hint="eastAsia"/>
          <w:sz w:val="30"/>
          <w:szCs w:val="30"/>
          <w:lang w:val="zh-CN" w:bidi="zh-CN"/>
        </w:rPr>
        <w:t>链接至江苏省分局</w:t>
      </w:r>
    </w:p>
    <w:p w:rsidR="004061E2" w:rsidRDefault="0041722C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通过国家外汇管理局政务服务网上办理系统提交申请的，可在该系统内进行查询。</w:t>
      </w:r>
    </w:p>
    <w:p w:rsidR="004061E2" w:rsidRDefault="0041722C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（二十）监督投诉渠道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向国家外汇管理局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  <w:r>
        <w:rPr>
          <w:rFonts w:ascii="Times New Roman" w:eastAsia="仿宋_GB2312" w:hAnsi="Times New Roman" w:cs="Times New Roman"/>
          <w:sz w:val="30"/>
          <w:szCs w:val="30"/>
        </w:rPr>
        <w:t>监督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和</w:t>
      </w:r>
      <w:r>
        <w:rPr>
          <w:rFonts w:ascii="Times New Roman" w:eastAsia="仿宋_GB2312" w:hAnsi="Times New Roman" w:cs="Times New Roman"/>
          <w:sz w:val="30"/>
          <w:szCs w:val="30"/>
        </w:rPr>
        <w:t>投诉等可通过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电话、</w:t>
      </w:r>
      <w:r>
        <w:rPr>
          <w:rFonts w:ascii="Times New Roman" w:eastAsia="仿宋_GB2312" w:hAnsi="Times New Roman" w:cs="Times New Roman"/>
          <w:sz w:val="30"/>
          <w:szCs w:val="30"/>
        </w:rPr>
        <w:t>国家外汇管理局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  <w:r>
        <w:rPr>
          <w:rFonts w:ascii="Times New Roman" w:eastAsia="仿宋_GB2312" w:hAnsi="Times New Roman" w:cs="Times New Roman"/>
          <w:sz w:val="30"/>
          <w:szCs w:val="30"/>
        </w:rPr>
        <w:t>官方互联网站的相应栏目进行。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025-84790472</w:t>
      </w:r>
    </w:p>
    <w:p w:rsidR="004061E2" w:rsidRDefault="0041722C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网址：</w:t>
      </w:r>
      <w:r>
        <w:rPr>
          <w:rFonts w:ascii="Times New Roman" w:eastAsia="仿宋_GB2312" w:hAnsi="Times New Roman" w:cs="Times New Roman"/>
          <w:sz w:val="30"/>
          <w:szCs w:val="30"/>
        </w:rPr>
        <w:t>国家</w:t>
      </w:r>
      <w:r>
        <w:rPr>
          <w:rFonts w:ascii="Times New Roman" w:eastAsia="仿宋_GB2312" w:hAnsi="Times New Roman" w:cs="Times New Roman"/>
          <w:sz w:val="30"/>
          <w:szCs w:val="30"/>
          <w:lang w:val="zh-CN" w:bidi="zh-CN"/>
        </w:rPr>
        <w:t>外汇管理局官方互联网站</w:t>
      </w:r>
      <w:hyperlink r:id="rId10" w:history="1">
        <w:r w:rsidRPr="00826641">
          <w:rPr>
            <w:rFonts w:ascii="Times New Roman" w:eastAsia="仿宋_GB2312" w:hAnsi="Times New Roman" w:cs="Times New Roman"/>
            <w:sz w:val="30"/>
            <w:szCs w:val="30"/>
            <w:lang w:bidi="zh-CN"/>
          </w:rPr>
          <w:t>www.safe.gov.cn</w:t>
        </w:r>
      </w:hyperlink>
      <w:r>
        <w:rPr>
          <w:rFonts w:ascii="Times New Roman" w:eastAsia="仿宋_GB2312" w:hAnsi="Times New Roman" w:cs="Times New Roman" w:hint="eastAsia"/>
          <w:sz w:val="30"/>
          <w:szCs w:val="30"/>
          <w:lang w:val="zh-CN" w:bidi="zh-CN"/>
        </w:rPr>
        <w:t>链接至江苏省分局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（二十一）申请材料示范文本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无固定格式，但需要根据总行、分行、支行提供不同的材料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，有关内容要求详见（六）申请材料。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（二十二）常见问题解答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审批时限在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个工作日以内。但办理过程中所需的现场验收等，不计入时限。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（二十三）常见错误示例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  <w:sectPr w:rsidR="004061E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 w:cs="Times New Roman"/>
          <w:sz w:val="30"/>
          <w:szCs w:val="30"/>
        </w:rPr>
        <w:t>申请材料不完全符合规定，例如《金融许可证》复印件未加盖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银行</w:t>
      </w:r>
      <w:r>
        <w:rPr>
          <w:rFonts w:ascii="Times New Roman" w:eastAsia="仿宋_GB2312" w:hAnsi="Times New Roman" w:cs="Times New Roman"/>
          <w:sz w:val="30"/>
          <w:szCs w:val="30"/>
        </w:rPr>
        <w:t>公章等。</w:t>
      </w:r>
    </w:p>
    <w:p w:rsidR="004061E2" w:rsidRDefault="0041722C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</w:t>
      </w:r>
    </w:p>
    <w:p w:rsidR="004061E2" w:rsidRDefault="0041722C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4061E2" w:rsidRDefault="004061E2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4061E2" w:rsidRDefault="00D347F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rect id="Rectangle 399" o:spid="_x0000_s1027" style="position:absolute;left:0;text-align:left;margin-left:-1.45pt;margin-top:.15pt;width:148.4pt;height:68.9pt;z-index:251674624" o:preferrelative="t">
            <v:stroke miterlimit="2"/>
            <v:textbox>
              <w:txbxContent>
                <w:p w:rsidR="004061E2" w:rsidRDefault="0041722C"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申请人以现场、邮寄、国家外汇管理局政务服务网上办理系统等提出书面申请，并提交材料</w:t>
                  </w:r>
                </w:p>
                <w:p w:rsidR="004061E2" w:rsidRDefault="004061E2"/>
              </w:txbxContent>
            </v:textbox>
          </v:rect>
        </w:pict>
      </w:r>
    </w:p>
    <w:p w:rsidR="004061E2" w:rsidRDefault="00D347F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rect id="Rectangle 394" o:spid="_x0000_s1028" style="position:absolute;left:0;text-align:left;margin-left:273.6pt;margin-top:26.7pt;width:104.7pt;height:39.8pt;z-index:251669504" o:preferrelative="t">
            <v:stroke miterlimit="2"/>
            <v:textbox>
              <w:txbxContent>
                <w:p w:rsidR="004061E2" w:rsidRDefault="0041722C"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  <w:p w:rsidR="004061E2" w:rsidRDefault="004061E2"/>
              </w:txbxContent>
            </v:textbox>
          </v:rect>
        </w:pict>
      </w:r>
    </w:p>
    <w:p w:rsidR="004061E2" w:rsidRDefault="00D347F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387" o:spid="_x0000_s1029" type="#_x0000_t32" style="position:absolute;left:0;text-align:left;margin-left:41.45pt;margin-top:21.05pt;width:232.15pt;height:.05pt;flip:x;z-index:251662336" o:connectortype="straight" o:preferrelative="t">
            <v:stroke endarrow="block"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Straight Connector 383" o:spid="_x0000_s1030" type="#_x0000_t32" style="position:absolute;left:0;text-align:left;margin-left:40.6pt;margin-top:6.65pt;width:.85pt;height:73.4pt;z-index:251658240" o:connectortype="straight" o:preferrelative="t">
            <v:stroke endarrow="block" miterlimit="2"/>
          </v:shape>
        </w:pict>
      </w:r>
    </w:p>
    <w:p w:rsidR="004061E2" w:rsidRDefault="00D347FB">
      <w:pPr>
        <w:ind w:right="300"/>
        <w:jc w:val="left"/>
        <w:rPr>
          <w:rFonts w:ascii="Times New Roman" w:eastAsia="仿宋_GB2312" w:hAnsi="Times New Roman" w:cs="Times New Roman"/>
          <w:sz w:val="30"/>
          <w:szCs w:val="30"/>
        </w:rPr>
        <w:sectPr w:rsidR="004061E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 w:cs="Times New Roman"/>
          <w:sz w:val="30"/>
          <w:szCs w:val="30"/>
        </w:rPr>
        <w:pict>
          <v:shape id="Straight Connector 392" o:spid="_x0000_s1031" type="#_x0000_t32" style="position:absolute;margin-left:40.6pt;margin-top:182.85pt;width:41.1pt;height:.05pt;z-index:251667456" o:connectortype="straight" o:preferrelative="t">
            <v:stroke endarrow="block"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Straight Connector 391" o:spid="_x0000_s1032" type="#_x0000_t32" style="position:absolute;margin-left:40.6pt;margin-top:113.3pt;width:.05pt;height:69.55pt;z-index:251666432" o:connectortype="straight" o:preferrelative="t">
            <v:stroke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Straight Connector 385" o:spid="_x0000_s1033" type="#_x0000_t32" style="position:absolute;margin-left:93.35pt;margin-top:101.65pt;width:58.6pt;height:.05pt;z-index:251660288" o:connectortype="straight" o:preferrelative="t">
            <v:stroke endarrow="block"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Straight Connector 389" o:spid="_x0000_s1034" type="#_x0000_t32" style="position:absolute;margin-left:237.35pt;margin-top:253.15pt;width:.85pt;height:45.25pt;z-index:251664384" o:connectortype="straight" o:preferrelative="t">
            <v:stroke endarrow="block"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Straight Connector 390" o:spid="_x0000_s1035" type="#_x0000_t32" style="position:absolute;margin-left:131.6pt;margin-top:253.15pt;width:.05pt;height:45.25pt;z-index:251665408" o:connectortype="straight" o:preferrelative="t">
            <v:stroke endarrow="block"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Straight Connector 388" o:spid="_x0000_s1036" type="#_x0000_t32" style="position:absolute;margin-left:179.6pt;margin-top:204.6pt;width:.05pt;height:21.85pt;z-index:251663360" o:connectortype="straight" o:preferrelative="t">
            <v:stroke endarrow="block" miterlimit="2"/>
          </v:shape>
        </w:pict>
      </w:r>
    </w:p>
    <w:p w:rsidR="004061E2" w:rsidRDefault="00D347FB">
      <w:pPr>
        <w:ind w:right="300"/>
        <w:rPr>
          <w:rFonts w:ascii="Times New Roman" w:eastAsia="黑体" w:hAnsi="Times New Roman" w:cs="Times New Roman"/>
          <w:sz w:val="48"/>
          <w:szCs w:val="48"/>
        </w:rPr>
        <w:sectPr w:rsidR="004061E2">
          <w:footerReference w:type="default" r:id="rId11"/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pict>
          <v:shape id="Straight Connector 384" o:spid="_x0000_s1037" type="#_x0000_t32" style="position:absolute;left:0;text-align:left;margin-left:89.25pt;margin-top:61.45pt;width:62.7pt;height:.05pt;z-index:251659264" o:connectortype="straight" o:preferrelative="t">
            <v:stroke endarrow="block" miterlimit="2"/>
          </v:shape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Rectangle 401" o:spid="_x0000_s1038" style="position:absolute;left:0;text-align:left;margin-left:199.5pt;margin-top:298.4pt;width:87.35pt;height:58.6pt;z-index:251676672" o:preferrelative="t">
            <v:stroke miterlimit="2"/>
            <v:textbox>
              <w:txbxContent>
                <w:p w:rsidR="004061E2" w:rsidRDefault="0041722C">
                  <w:r>
                    <w:rPr>
                      <w:rFonts w:hint="eastAsia"/>
                    </w:rPr>
                    <w:t>依法</w:t>
                  </w:r>
                  <w:proofErr w:type="gramStart"/>
                  <w:r>
                    <w:rPr>
                      <w:rFonts w:hint="eastAsia"/>
                    </w:rPr>
                    <w:t>作出</w:t>
                  </w:r>
                  <w:proofErr w:type="gramEnd"/>
                  <w:r>
                    <w:rPr>
                      <w:rFonts w:hint="eastAsia"/>
                    </w:rPr>
                    <w:t>不予许可决定，并送达</w:t>
                  </w:r>
                </w:p>
                <w:p w:rsidR="004061E2" w:rsidRDefault="004061E2"/>
              </w:txbxContent>
            </v:textbox>
          </v:rect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Rectangle 400" o:spid="_x0000_s1039" style="position:absolute;left:0;text-align:left;margin-left:81.65pt;margin-top:298.4pt;width:87.35pt;height:58.6pt;z-index:251675648" o:preferrelative="t">
            <v:stroke miterlimit="2"/>
            <v:textbox>
              <w:txbxContent>
                <w:p w:rsidR="004061E2" w:rsidRDefault="0041722C">
                  <w:r>
                    <w:rPr>
                      <w:rFonts w:hint="eastAsia"/>
                    </w:rPr>
                    <w:t>予以许可，向申请人出具正式公文或备案表</w:t>
                  </w:r>
                </w:p>
                <w:p w:rsidR="004061E2" w:rsidRDefault="004061E2"/>
              </w:txbxContent>
            </v:textbox>
          </v:rect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Rectangle 398" o:spid="_x0000_s1040" style="position:absolute;left:0;text-align:left;margin-left:81.7pt;margin-top:226.45pt;width:212.6pt;height:26.7pt;z-index:251673600" o:preferrelative="t">
            <v:stroke miterlimit="2"/>
            <v:textbox>
              <w:txbxContent>
                <w:p w:rsidR="004061E2" w:rsidRDefault="0041722C"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  <w:p w:rsidR="004061E2" w:rsidRDefault="004061E2"/>
              </w:txbxContent>
            </v:textbox>
          </v:rect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Rectangle 397" o:spid="_x0000_s1041" style="position:absolute;left:0;text-align:left;margin-left:81.65pt;margin-top:174.45pt;width:205.2pt;height:30.15pt;z-index:251672576" o:preferrelative="t">
            <v:stroke miterlimit="2"/>
            <v:textbox>
              <w:txbxContent>
                <w:p w:rsidR="004061E2" w:rsidRDefault="0041722C">
                  <w:pPr>
                    <w:jc w:val="center"/>
                  </w:pPr>
                  <w:r>
                    <w:rPr>
                      <w:rFonts w:hint="eastAsia"/>
                    </w:rPr>
                    <w:t>依法应予受理，出具受理单</w:t>
                  </w:r>
                </w:p>
                <w:p w:rsidR="004061E2" w:rsidRDefault="004061E2"/>
              </w:txbxContent>
            </v:textbox>
          </v:rect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Straight Connector 386" o:spid="_x0000_s1042" type="#_x0000_t32" style="position:absolute;left:0;text-align:left;margin-left:319.55pt;margin-top:4.1pt;width:.05pt;height:44.75pt;flip:y;z-index:251661312" o:connectortype="straight" o:preferrelative="t">
            <v:stroke endarrow="block" miterlimit="2"/>
          </v:shape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Rectangle 396" o:spid="_x0000_s1043" style="position:absolute;left:0;text-align:left;margin-left:151.95pt;margin-top:91.45pt;width:268.1pt;height:45.3pt;z-index:251671552" o:preferrelative="t">
            <v:stroke miterlimit="2"/>
            <v:textbox>
              <w:txbxContent>
                <w:p w:rsidR="004061E2" w:rsidRDefault="0041722C">
                  <w:r>
                    <w:rPr>
                      <w:rFonts w:hint="eastAsia"/>
                    </w:rPr>
                    <w:t>依法不予受理的，</w:t>
                  </w:r>
                  <w:proofErr w:type="gramStart"/>
                  <w:r>
                    <w:rPr>
                      <w:rFonts w:hint="eastAsia"/>
                    </w:rPr>
                    <w:t>作出</w:t>
                  </w:r>
                  <w:proofErr w:type="gramEnd"/>
                  <w:r>
                    <w:rPr>
                      <w:rFonts w:hint="eastAsia"/>
                    </w:rPr>
                    <w:t>不予受理决定，出具不予受理通知书</w:t>
                  </w:r>
                </w:p>
                <w:p w:rsidR="004061E2" w:rsidRDefault="004061E2"/>
              </w:txbxContent>
            </v:textbox>
          </v:rect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Rectangle 395" o:spid="_x0000_s1044" style="position:absolute;left:0;text-align:left;margin-left:151.95pt;margin-top:48.85pt;width:268.1pt;height:25pt;z-index:251670528" o:preferrelative="t">
            <v:stroke miterlimit="2"/>
            <v:textbox>
              <w:txbxContent>
                <w:p w:rsidR="004061E2" w:rsidRDefault="0041722C"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  <w:p w:rsidR="004061E2" w:rsidRDefault="004061E2"/>
              </w:txbxContent>
            </v:textbox>
          </v:rect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393" o:spid="_x0000_s1045" type="#_x0000_t110" style="position:absolute;left:0;text-align:left;margin-left:-39.65pt;margin-top:35.35pt;width:163.7pt;height:94.45pt;z-index:251668480" o:preferrelative="t">
            <v:stroke miterlimit="2"/>
            <v:textbox>
              <w:txbxContent>
                <w:p w:rsidR="004061E2" w:rsidRDefault="0041722C">
                  <w:proofErr w:type="gramStart"/>
                  <w:r>
                    <w:rPr>
                      <w:rFonts w:hint="eastAsia"/>
                    </w:rPr>
                    <w:t>接件并</w:t>
                  </w:r>
                  <w:proofErr w:type="gramEnd"/>
                  <w:r>
                    <w:rPr>
                      <w:rFonts w:hint="eastAsia"/>
                    </w:rPr>
                    <w:t>当场（或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个工作日）</w:t>
                  </w:r>
                  <w:proofErr w:type="gramStart"/>
                  <w:r>
                    <w:rPr>
                      <w:rFonts w:hint="eastAsia"/>
                    </w:rPr>
                    <w:t>作出</w:t>
                  </w:r>
                  <w:proofErr w:type="gramEnd"/>
                  <w:r>
                    <w:rPr>
                      <w:rFonts w:hint="eastAsia"/>
                    </w:rPr>
                    <w:t>是否受理决定</w:t>
                  </w:r>
                </w:p>
                <w:p w:rsidR="004061E2" w:rsidRDefault="004061E2"/>
              </w:txbxContent>
            </v:textbox>
          </v:shape>
        </w:pict>
      </w:r>
    </w:p>
    <w:p w:rsidR="004061E2" w:rsidRDefault="0041722C">
      <w:pPr>
        <w:widowControl/>
        <w:spacing w:line="384" w:lineRule="auto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lastRenderedPageBreak/>
        <w:t>附录二</w:t>
      </w:r>
    </w:p>
    <w:p w:rsidR="004061E2" w:rsidRDefault="0041722C">
      <w:pPr>
        <w:widowControl/>
        <w:spacing w:line="384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银行办理即期结售汇业务备案表</w:t>
      </w:r>
    </w:p>
    <w:tbl>
      <w:tblPr>
        <w:tblStyle w:val="ae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4061E2"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gridSpan w:val="5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61E2"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营业地址</w:t>
            </w:r>
          </w:p>
        </w:tc>
        <w:tc>
          <w:tcPr>
            <w:tcW w:w="7102" w:type="dxa"/>
            <w:gridSpan w:val="5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61E2"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金融许可证机构编码</w:t>
            </w:r>
          </w:p>
        </w:tc>
        <w:tc>
          <w:tcPr>
            <w:tcW w:w="2840" w:type="dxa"/>
            <w:gridSpan w:val="2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金融许可证编号</w:t>
            </w:r>
          </w:p>
        </w:tc>
        <w:tc>
          <w:tcPr>
            <w:tcW w:w="2842" w:type="dxa"/>
            <w:gridSpan w:val="2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61E2"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7102" w:type="dxa"/>
            <w:gridSpan w:val="5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61E2"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金融机构标识码</w:t>
            </w:r>
          </w:p>
        </w:tc>
        <w:tc>
          <w:tcPr>
            <w:tcW w:w="7102" w:type="dxa"/>
            <w:gridSpan w:val="5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已赋码号码为：</w:t>
            </w:r>
          </w:p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未赋码</w:t>
            </w:r>
          </w:p>
        </w:tc>
      </w:tr>
      <w:tr w:rsidR="004061E2"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授权经营结售汇业务的上级行名称</w:t>
            </w:r>
          </w:p>
        </w:tc>
        <w:tc>
          <w:tcPr>
            <w:tcW w:w="7102" w:type="dxa"/>
            <w:gridSpan w:val="5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61E2"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上级行授权时间</w:t>
            </w:r>
          </w:p>
        </w:tc>
        <w:tc>
          <w:tcPr>
            <w:tcW w:w="7102" w:type="dxa"/>
            <w:gridSpan w:val="5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61E2"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结售汇业务备案类型</w:t>
            </w:r>
          </w:p>
        </w:tc>
        <w:tc>
          <w:tcPr>
            <w:tcW w:w="7102" w:type="dxa"/>
            <w:gridSpan w:val="5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对公结售汇业务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对私结售汇业务</w:t>
            </w:r>
          </w:p>
        </w:tc>
      </w:tr>
      <w:tr w:rsidR="004061E2"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银行结售汇统计数据报送方式</w:t>
            </w:r>
          </w:p>
        </w:tc>
        <w:tc>
          <w:tcPr>
            <w:tcW w:w="7102" w:type="dxa"/>
            <w:gridSpan w:val="5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并入上级行报送上级行名称：</w:t>
            </w:r>
          </w:p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本行单独报送</w:t>
            </w:r>
          </w:p>
        </w:tc>
      </w:tr>
      <w:tr w:rsidR="004061E2"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个人外汇业务监测系统（备案对私结售汇业务需填写）</w:t>
            </w:r>
          </w:p>
        </w:tc>
        <w:tc>
          <w:tcPr>
            <w:tcW w:w="7102" w:type="dxa"/>
            <w:gridSpan w:val="5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是否已满足网络接入和设备要求：</w:t>
            </w:r>
          </w:p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个人外汇业务监测系统使用身份：</w:t>
            </w:r>
          </w:p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用上级行代码登录上级行名称：</w:t>
            </w:r>
          </w:p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用本行代码登录</w:t>
            </w:r>
          </w:p>
        </w:tc>
      </w:tr>
      <w:tr w:rsidR="004061E2">
        <w:tc>
          <w:tcPr>
            <w:tcW w:w="1420" w:type="dxa"/>
            <w:vMerge w:val="restart"/>
            <w:vAlign w:val="center"/>
          </w:tcPr>
          <w:p w:rsidR="004061E2" w:rsidRDefault="0041722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联系人员</w:t>
            </w:r>
          </w:p>
        </w:tc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职责</w:t>
            </w:r>
          </w:p>
        </w:tc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421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1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</w:tr>
      <w:tr w:rsidR="004061E2">
        <w:tc>
          <w:tcPr>
            <w:tcW w:w="1420" w:type="dxa"/>
            <w:vMerge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主管行长</w:t>
            </w:r>
          </w:p>
        </w:tc>
        <w:tc>
          <w:tcPr>
            <w:tcW w:w="1420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61E2">
        <w:tc>
          <w:tcPr>
            <w:tcW w:w="1420" w:type="dxa"/>
            <w:vMerge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1420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61E2">
        <w:tc>
          <w:tcPr>
            <w:tcW w:w="1420" w:type="dxa"/>
            <w:vMerge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1420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61E2">
        <w:tc>
          <w:tcPr>
            <w:tcW w:w="8522" w:type="dxa"/>
            <w:gridSpan w:val="6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声明：</w:t>
            </w:r>
          </w:p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以上情况全部属实，如有不真实，愿承担由此引起的法律责任。</w:t>
            </w:r>
          </w:p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授权银行签章备案银行签章</w:t>
            </w:r>
          </w:p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年月日年月人</w:t>
            </w:r>
          </w:p>
        </w:tc>
      </w:tr>
      <w:tr w:rsidR="004061E2">
        <w:tc>
          <w:tcPr>
            <w:tcW w:w="8522" w:type="dxa"/>
            <w:gridSpan w:val="6"/>
          </w:tcPr>
          <w:p w:rsidR="004061E2" w:rsidRDefault="004061E2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061E2" w:rsidRDefault="0041722C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国家外汇管理局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××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分支局</w:t>
            </w:r>
          </w:p>
          <w:p w:rsidR="004061E2" w:rsidRDefault="0041722C">
            <w:pPr>
              <w:widowControl/>
              <w:ind w:right="72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（签章）</w:t>
            </w:r>
          </w:p>
          <w:p w:rsidR="004061E2" w:rsidRDefault="0041722C">
            <w:pPr>
              <w:widowControl/>
              <w:ind w:right="48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年月日</w:t>
            </w:r>
          </w:p>
        </w:tc>
      </w:tr>
    </w:tbl>
    <w:p w:rsidR="004061E2" w:rsidRDefault="0041722C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附注：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、本表仅适用于银行分支机构。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、申请办理即期结售汇业务的银行营业网点无行政公章的，可以使用上级行行政公章替代，但其上级行需出具申请行无行政公章的说明材料。附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、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4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同。</w:t>
      </w:r>
    </w:p>
    <w:sectPr w:rsidR="004061E2"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FB" w:rsidRDefault="00D347FB">
      <w:r>
        <w:separator/>
      </w:r>
    </w:p>
  </w:endnote>
  <w:endnote w:type="continuationSeparator" w:id="0">
    <w:p w:rsidR="00D347FB" w:rsidRDefault="00D3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E2" w:rsidRDefault="004172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0149" w:rsidRPr="00500149">
      <w:rPr>
        <w:noProof/>
        <w:lang w:val="zh-CN"/>
      </w:rPr>
      <w:t>8</w:t>
    </w:r>
    <w:r>
      <w:rPr>
        <w:lang w:val="zh-CN"/>
      </w:rPr>
      <w:fldChar w:fldCharType="end"/>
    </w:r>
  </w:p>
  <w:p w:rsidR="004061E2" w:rsidRDefault="004061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E2" w:rsidRDefault="004172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 w:rsidR="004061E2" w:rsidRDefault="004061E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E2" w:rsidRDefault="004172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00149" w:rsidRPr="00500149">
      <w:rPr>
        <w:noProof/>
        <w:lang w:val="zh-CN"/>
      </w:rPr>
      <w:t>9</w:t>
    </w:r>
    <w:r>
      <w:fldChar w:fldCharType="end"/>
    </w:r>
  </w:p>
  <w:p w:rsidR="004061E2" w:rsidRDefault="004061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FB" w:rsidRDefault="00D347FB">
      <w:r>
        <w:separator/>
      </w:r>
    </w:p>
  </w:footnote>
  <w:footnote w:type="continuationSeparator" w:id="0">
    <w:p w:rsidR="00D347FB" w:rsidRDefault="00D34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131E"/>
    <w:rsid w:val="00000F77"/>
    <w:rsid w:val="00003372"/>
    <w:rsid w:val="00022191"/>
    <w:rsid w:val="00023783"/>
    <w:rsid w:val="000247F5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2B1C"/>
    <w:rsid w:val="000B6901"/>
    <w:rsid w:val="000B728B"/>
    <w:rsid w:val="000C15B3"/>
    <w:rsid w:val="000C2B33"/>
    <w:rsid w:val="000C6C10"/>
    <w:rsid w:val="000D0A1D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1FAD"/>
    <w:rsid w:val="00196FAE"/>
    <w:rsid w:val="001A3E49"/>
    <w:rsid w:val="001A72AA"/>
    <w:rsid w:val="001B1E2C"/>
    <w:rsid w:val="001B7AA8"/>
    <w:rsid w:val="001C44C7"/>
    <w:rsid w:val="001D65A2"/>
    <w:rsid w:val="001E1407"/>
    <w:rsid w:val="001E7A1C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D4BEB"/>
    <w:rsid w:val="002E1323"/>
    <w:rsid w:val="002E6E2B"/>
    <w:rsid w:val="002F3868"/>
    <w:rsid w:val="00302119"/>
    <w:rsid w:val="00302E87"/>
    <w:rsid w:val="00310261"/>
    <w:rsid w:val="00325D3D"/>
    <w:rsid w:val="00343044"/>
    <w:rsid w:val="00344B01"/>
    <w:rsid w:val="00353AC4"/>
    <w:rsid w:val="003609CB"/>
    <w:rsid w:val="003616B4"/>
    <w:rsid w:val="003A57B2"/>
    <w:rsid w:val="003C35D1"/>
    <w:rsid w:val="003C7132"/>
    <w:rsid w:val="003D77A5"/>
    <w:rsid w:val="003E6567"/>
    <w:rsid w:val="003E6BF6"/>
    <w:rsid w:val="003F221D"/>
    <w:rsid w:val="003F3097"/>
    <w:rsid w:val="00402AE8"/>
    <w:rsid w:val="00405FE6"/>
    <w:rsid w:val="004061E2"/>
    <w:rsid w:val="004105BC"/>
    <w:rsid w:val="0041722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57AE"/>
    <w:rsid w:val="00500149"/>
    <w:rsid w:val="005056D4"/>
    <w:rsid w:val="00526B2B"/>
    <w:rsid w:val="0053236D"/>
    <w:rsid w:val="005362B0"/>
    <w:rsid w:val="00542447"/>
    <w:rsid w:val="00557EB9"/>
    <w:rsid w:val="00564312"/>
    <w:rsid w:val="00567664"/>
    <w:rsid w:val="005A2981"/>
    <w:rsid w:val="005B0E36"/>
    <w:rsid w:val="005C6937"/>
    <w:rsid w:val="005C7F02"/>
    <w:rsid w:val="005E573A"/>
    <w:rsid w:val="005F0A86"/>
    <w:rsid w:val="005F144A"/>
    <w:rsid w:val="005F1C00"/>
    <w:rsid w:val="0061621E"/>
    <w:rsid w:val="00630AA8"/>
    <w:rsid w:val="00630B2E"/>
    <w:rsid w:val="00632EDB"/>
    <w:rsid w:val="00643D2A"/>
    <w:rsid w:val="006476F4"/>
    <w:rsid w:val="00664E11"/>
    <w:rsid w:val="00673B30"/>
    <w:rsid w:val="0067722B"/>
    <w:rsid w:val="00696E5D"/>
    <w:rsid w:val="006A0114"/>
    <w:rsid w:val="006B5B86"/>
    <w:rsid w:val="006C5908"/>
    <w:rsid w:val="006C633E"/>
    <w:rsid w:val="006D56AB"/>
    <w:rsid w:val="006D734F"/>
    <w:rsid w:val="006E043F"/>
    <w:rsid w:val="006E10A7"/>
    <w:rsid w:val="006E4695"/>
    <w:rsid w:val="006E4B8B"/>
    <w:rsid w:val="006E5901"/>
    <w:rsid w:val="006F71B6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0424"/>
    <w:rsid w:val="00785F45"/>
    <w:rsid w:val="007965CC"/>
    <w:rsid w:val="007A2780"/>
    <w:rsid w:val="007A68EA"/>
    <w:rsid w:val="007B06FC"/>
    <w:rsid w:val="007B0FEF"/>
    <w:rsid w:val="007B2DB5"/>
    <w:rsid w:val="007C65D4"/>
    <w:rsid w:val="007D2C11"/>
    <w:rsid w:val="007D6171"/>
    <w:rsid w:val="007D69EA"/>
    <w:rsid w:val="007E2C7B"/>
    <w:rsid w:val="007E411B"/>
    <w:rsid w:val="007E5E5D"/>
    <w:rsid w:val="007F0863"/>
    <w:rsid w:val="007F2F3B"/>
    <w:rsid w:val="00802307"/>
    <w:rsid w:val="0080281B"/>
    <w:rsid w:val="0082168E"/>
    <w:rsid w:val="00821968"/>
    <w:rsid w:val="00826641"/>
    <w:rsid w:val="008471B6"/>
    <w:rsid w:val="00851521"/>
    <w:rsid w:val="0085686A"/>
    <w:rsid w:val="00860878"/>
    <w:rsid w:val="00862BB5"/>
    <w:rsid w:val="00870125"/>
    <w:rsid w:val="00870627"/>
    <w:rsid w:val="008709A6"/>
    <w:rsid w:val="008731FF"/>
    <w:rsid w:val="0088294A"/>
    <w:rsid w:val="0089282A"/>
    <w:rsid w:val="008A4538"/>
    <w:rsid w:val="008A704B"/>
    <w:rsid w:val="008B08D2"/>
    <w:rsid w:val="008B4EE5"/>
    <w:rsid w:val="008B5807"/>
    <w:rsid w:val="008B7316"/>
    <w:rsid w:val="008C3178"/>
    <w:rsid w:val="008D5CA5"/>
    <w:rsid w:val="008D5FA0"/>
    <w:rsid w:val="008E2D38"/>
    <w:rsid w:val="008F5724"/>
    <w:rsid w:val="008F5900"/>
    <w:rsid w:val="008F69CD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3640B"/>
    <w:rsid w:val="00947C57"/>
    <w:rsid w:val="00951149"/>
    <w:rsid w:val="009526CE"/>
    <w:rsid w:val="00960EDB"/>
    <w:rsid w:val="009622DB"/>
    <w:rsid w:val="009664BC"/>
    <w:rsid w:val="009717A5"/>
    <w:rsid w:val="00980F02"/>
    <w:rsid w:val="00986F87"/>
    <w:rsid w:val="00991B77"/>
    <w:rsid w:val="00997523"/>
    <w:rsid w:val="009A0C5D"/>
    <w:rsid w:val="009B21AF"/>
    <w:rsid w:val="009C4672"/>
    <w:rsid w:val="009C491B"/>
    <w:rsid w:val="009D0911"/>
    <w:rsid w:val="009D24F8"/>
    <w:rsid w:val="009D688C"/>
    <w:rsid w:val="009F7A36"/>
    <w:rsid w:val="00A07DCA"/>
    <w:rsid w:val="00A249C2"/>
    <w:rsid w:val="00A24FAB"/>
    <w:rsid w:val="00A301E7"/>
    <w:rsid w:val="00A42E69"/>
    <w:rsid w:val="00A45CA7"/>
    <w:rsid w:val="00A51415"/>
    <w:rsid w:val="00A53733"/>
    <w:rsid w:val="00A570D6"/>
    <w:rsid w:val="00A6014E"/>
    <w:rsid w:val="00A60356"/>
    <w:rsid w:val="00A741C5"/>
    <w:rsid w:val="00A81DF1"/>
    <w:rsid w:val="00A82111"/>
    <w:rsid w:val="00A90EF3"/>
    <w:rsid w:val="00AA2285"/>
    <w:rsid w:val="00AA7717"/>
    <w:rsid w:val="00AB131E"/>
    <w:rsid w:val="00AB644F"/>
    <w:rsid w:val="00AC3F5E"/>
    <w:rsid w:val="00AC7BC3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E262A"/>
    <w:rsid w:val="00BF4EF0"/>
    <w:rsid w:val="00C02E44"/>
    <w:rsid w:val="00C030C6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1DF9"/>
    <w:rsid w:val="00CA2622"/>
    <w:rsid w:val="00CA5CBC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347FB"/>
    <w:rsid w:val="00D41F5E"/>
    <w:rsid w:val="00D43DC0"/>
    <w:rsid w:val="00D54E56"/>
    <w:rsid w:val="00D6407D"/>
    <w:rsid w:val="00D93E78"/>
    <w:rsid w:val="00DC6E91"/>
    <w:rsid w:val="00DC7514"/>
    <w:rsid w:val="00DD3845"/>
    <w:rsid w:val="00DE6E45"/>
    <w:rsid w:val="00DE6E79"/>
    <w:rsid w:val="00DF2721"/>
    <w:rsid w:val="00E05189"/>
    <w:rsid w:val="00E1687A"/>
    <w:rsid w:val="00E20A2E"/>
    <w:rsid w:val="00E277DE"/>
    <w:rsid w:val="00E27EE9"/>
    <w:rsid w:val="00E3239D"/>
    <w:rsid w:val="00E3254B"/>
    <w:rsid w:val="00E3439B"/>
    <w:rsid w:val="00E42C5F"/>
    <w:rsid w:val="00E52BE4"/>
    <w:rsid w:val="00E65A1B"/>
    <w:rsid w:val="00E72F1F"/>
    <w:rsid w:val="00E841A2"/>
    <w:rsid w:val="00E934AB"/>
    <w:rsid w:val="00EA06AC"/>
    <w:rsid w:val="00EA08BF"/>
    <w:rsid w:val="00EA24FB"/>
    <w:rsid w:val="00EB20E3"/>
    <w:rsid w:val="00EB3204"/>
    <w:rsid w:val="00EB47A2"/>
    <w:rsid w:val="00EB50BA"/>
    <w:rsid w:val="00EC0EF4"/>
    <w:rsid w:val="00EC3D33"/>
    <w:rsid w:val="00ED302A"/>
    <w:rsid w:val="00ED3A42"/>
    <w:rsid w:val="00EE02BC"/>
    <w:rsid w:val="00EE6970"/>
    <w:rsid w:val="00EE7345"/>
    <w:rsid w:val="00EF38D0"/>
    <w:rsid w:val="00EF3DDF"/>
    <w:rsid w:val="00EF4A8C"/>
    <w:rsid w:val="00F2678C"/>
    <w:rsid w:val="00F27B38"/>
    <w:rsid w:val="00F370AD"/>
    <w:rsid w:val="00F40278"/>
    <w:rsid w:val="00F41832"/>
    <w:rsid w:val="00F56988"/>
    <w:rsid w:val="00F620FB"/>
    <w:rsid w:val="00F6571F"/>
    <w:rsid w:val="00F815BC"/>
    <w:rsid w:val="00F8687E"/>
    <w:rsid w:val="00F93331"/>
    <w:rsid w:val="00F94D5A"/>
    <w:rsid w:val="00F95549"/>
    <w:rsid w:val="00FA1E24"/>
    <w:rsid w:val="00FA24FB"/>
    <w:rsid w:val="00FA632B"/>
    <w:rsid w:val="00FB171F"/>
    <w:rsid w:val="00FB18B2"/>
    <w:rsid w:val="00FB38EA"/>
    <w:rsid w:val="00FB5E0F"/>
    <w:rsid w:val="00FB6AFF"/>
    <w:rsid w:val="00FC4D8F"/>
    <w:rsid w:val="00FD06D3"/>
    <w:rsid w:val="00FE3157"/>
    <w:rsid w:val="00FE6865"/>
    <w:rsid w:val="00FE6993"/>
    <w:rsid w:val="0761245C"/>
    <w:rsid w:val="0B831EEA"/>
    <w:rsid w:val="0ED128AF"/>
    <w:rsid w:val="20A00CB0"/>
    <w:rsid w:val="22380181"/>
    <w:rsid w:val="22E408AB"/>
    <w:rsid w:val="27B80AC8"/>
    <w:rsid w:val="2942487C"/>
    <w:rsid w:val="2F622D6A"/>
    <w:rsid w:val="6114284F"/>
    <w:rsid w:val="6B0543B5"/>
    <w:rsid w:val="6DE0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Straight Connector 387"/>
        <o:r id="V:Rule2" type="connector" idref="#Straight Connector 383"/>
        <o:r id="V:Rule3" type="connector" idref="#Straight Connector 392"/>
        <o:r id="V:Rule4" type="connector" idref="#Straight Connector 385"/>
        <o:r id="V:Rule5" type="connector" idref="#Straight Connector 391"/>
        <o:r id="V:Rule6" type="connector" idref="#Straight Connector 390"/>
        <o:r id="V:Rule7" type="connector" idref="#Straight Connector 389"/>
        <o:r id="V:Rule8" type="connector" idref="#Straight Connector 384"/>
        <o:r id="V:Rule9" type="connector" idref="#Straight Connector 386"/>
        <o:r id="V:Rule10" type="connector" idref="#Straight Connector 388"/>
      </o:rules>
    </o:shapelayout>
  </w:shapeDefaults>
  <w:decimalSymbol w:val="."/>
  <w:listSeparator w:val=","/>
  <w15:docId w15:val="{9C0869A7-F8EB-48CF-9F87-0E4910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pPr>
      <w:jc w:val="left"/>
    </w:pPr>
    <w:rPr>
      <w:rFonts w:cs="Times New Roman"/>
    </w:rPr>
  </w:style>
  <w:style w:type="paragraph" w:styleId="a5">
    <w:name w:val="Body Text"/>
    <w:basedOn w:val="a"/>
    <w:link w:val="Char1"/>
    <w:uiPriority w:val="1"/>
    <w:qFormat/>
    <w:pPr>
      <w:spacing w:before="190"/>
      <w:ind w:left="720"/>
      <w:jc w:val="left"/>
    </w:pPr>
    <w:rPr>
      <w:rFonts w:ascii="仿宋_GB2312" w:eastAsia="仿宋_GB2312" w:hAnsi="仿宋_GB2312" w:cs="Times New Roman"/>
      <w:kern w:val="0"/>
      <w:sz w:val="30"/>
      <w:szCs w:val="30"/>
      <w:lang w:eastAsia="en-US"/>
    </w:rPr>
  </w:style>
  <w:style w:type="paragraph" w:styleId="a6">
    <w:name w:val="Balloon Text"/>
    <w:basedOn w:val="a"/>
    <w:link w:val="Char2"/>
    <w:unhideWhenUsed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10"/>
    <w:semiHidden/>
    <w:qFormat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Pr>
      <w:rFonts w:ascii="ˎ̥" w:hAnsi="ˎ̥" w:hint="default"/>
      <w:color w:val="0453CC"/>
      <w:sz w:val="20"/>
      <w:szCs w:val="20"/>
      <w:u w:val="none"/>
    </w:rPr>
  </w:style>
  <w:style w:type="character" w:styleId="ac">
    <w:name w:val="annotation reference"/>
    <w:basedOn w:val="a0"/>
    <w:unhideWhenUsed/>
    <w:qFormat/>
    <w:rPr>
      <w:sz w:val="21"/>
      <w:szCs w:val="21"/>
    </w:rPr>
  </w:style>
  <w:style w:type="character" w:styleId="ad">
    <w:name w:val="footnote reference"/>
    <w:unhideWhenUsed/>
    <w:qFormat/>
    <w:rPr>
      <w:rFonts w:ascii="Times New Roman" w:hAnsi="Times New Roman" w:cs="Times New Roman"/>
      <w:vertAlign w:val="superscript"/>
    </w:rPr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qFormat/>
    <w:rPr>
      <w:rFonts w:ascii="Calibri" w:hAnsi="Calibri" w:cs="黑体"/>
      <w:kern w:val="2"/>
      <w:sz w:val="21"/>
      <w:szCs w:val="2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cs="Times New Roman"/>
    </w:rPr>
  </w:style>
  <w:style w:type="paragraph" w:customStyle="1" w:styleId="4">
    <w:name w:val="列出段落4"/>
    <w:basedOn w:val="a"/>
    <w:qFormat/>
    <w:pPr>
      <w:ind w:firstLineChars="200" w:firstLine="200"/>
    </w:pPr>
    <w:rPr>
      <w:rFonts w:cs="Times New Roman"/>
    </w:rPr>
  </w:style>
  <w:style w:type="paragraph" w:customStyle="1" w:styleId="30">
    <w:name w:val="列出段落3"/>
    <w:basedOn w:val="a"/>
    <w:qFormat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character" w:customStyle="1" w:styleId="Char4">
    <w:name w:val="页眉 Char"/>
    <w:basedOn w:val="a0"/>
    <w:link w:val="a8"/>
    <w:uiPriority w:val="9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semiHidden/>
    <w:qFormat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qFormat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仿宋_GB2312" w:eastAsia="仿宋_GB2312" w:hAnsi="Calibri" w:cs="Times New Roman"/>
      <w:sz w:val="30"/>
      <w:szCs w:val="30"/>
    </w:rPr>
  </w:style>
  <w:style w:type="character" w:customStyle="1" w:styleId="Char5">
    <w:name w:val="脚注文本 Char"/>
    <w:basedOn w:val="a0"/>
    <w:uiPriority w:val="99"/>
    <w:semiHidden/>
    <w:rPr>
      <w:kern w:val="2"/>
      <w:sz w:val="18"/>
      <w:szCs w:val="18"/>
    </w:rPr>
  </w:style>
  <w:style w:type="character" w:customStyle="1" w:styleId="Char10">
    <w:name w:val="脚注文本 Char1"/>
    <w:basedOn w:val="a0"/>
    <w:link w:val="a9"/>
    <w:semiHidden/>
    <w:qFormat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qFormat/>
    <w:rPr>
      <w:kern w:val="2"/>
      <w:sz w:val="21"/>
      <w:szCs w:val="22"/>
    </w:rPr>
  </w:style>
  <w:style w:type="character" w:customStyle="1" w:styleId="13">
    <w:name w:val="明显强调1"/>
    <w:basedOn w:val="a0"/>
    <w:uiPriority w:val="21"/>
    <w:qFormat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qFormat/>
    <w:rPr>
      <w:sz w:val="18"/>
      <w:szCs w:val="18"/>
    </w:rPr>
  </w:style>
  <w:style w:type="character" w:customStyle="1" w:styleId="Char1">
    <w:name w:val="正文文本 Char"/>
    <w:basedOn w:val="a0"/>
    <w:link w:val="a5"/>
    <w:uiPriority w:val="1"/>
    <w:qFormat/>
    <w:rPr>
      <w:rFonts w:ascii="仿宋_GB2312" w:eastAsia="仿宋_GB2312" w:hAnsi="仿宋_GB2312" w:cs="Times New Roman"/>
      <w:kern w:val="0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safe.gov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.gov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编号：57013               _x0001_</dc:title>
  <dc:creator>裴建君2</dc:creator>
  <cp:lastModifiedBy>孟田</cp:lastModifiedBy>
  <cp:revision>2</cp:revision>
  <cp:lastPrinted>2017-11-24T00:22:00Z</cp:lastPrinted>
  <dcterms:created xsi:type="dcterms:W3CDTF">2020-02-17T02:50:00Z</dcterms:created>
  <dcterms:modified xsi:type="dcterms:W3CDTF">2021-02-07T03:31:00Z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