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20" w:rsidRDefault="00D573F9">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57014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C46B20" w:rsidRDefault="00C46B20">
      <w:pPr>
        <w:ind w:right="300"/>
        <w:jc w:val="center"/>
        <w:rPr>
          <w:rFonts w:ascii="Times New Roman" w:eastAsia="黑体" w:hAnsi="Times New Roman" w:cs="Times New Roman"/>
          <w:sz w:val="30"/>
          <w:szCs w:val="30"/>
        </w:rPr>
      </w:pPr>
    </w:p>
    <w:p w:rsidR="00C46B20" w:rsidRDefault="00C46B20">
      <w:pPr>
        <w:ind w:right="300"/>
        <w:jc w:val="center"/>
        <w:rPr>
          <w:rFonts w:ascii="Times New Roman" w:eastAsia="黑体" w:hAnsi="Times New Roman" w:cs="Times New Roman"/>
          <w:sz w:val="30"/>
          <w:szCs w:val="30"/>
        </w:rPr>
      </w:pPr>
    </w:p>
    <w:p w:rsidR="00C46B20" w:rsidRDefault="00C46B20">
      <w:pPr>
        <w:ind w:right="300"/>
        <w:jc w:val="center"/>
        <w:rPr>
          <w:rFonts w:ascii="Times New Roman" w:eastAsia="黑体" w:hAnsi="Times New Roman" w:cs="Times New Roman"/>
          <w:sz w:val="30"/>
          <w:szCs w:val="30"/>
        </w:rPr>
      </w:pPr>
    </w:p>
    <w:p w:rsidR="00C46B20" w:rsidRDefault="00C46B20">
      <w:pPr>
        <w:ind w:right="300"/>
        <w:jc w:val="center"/>
        <w:rPr>
          <w:rFonts w:ascii="Times New Roman" w:eastAsia="黑体" w:hAnsi="Times New Roman" w:cs="Times New Roman"/>
          <w:sz w:val="52"/>
          <w:szCs w:val="52"/>
        </w:rPr>
      </w:pPr>
    </w:p>
    <w:p w:rsidR="00C46B20" w:rsidRDefault="00D573F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保险、证券公司等非银行金融机构外汇业务市场准入、退出审批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D573F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C46B20" w:rsidRDefault="00D573F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C46B20" w:rsidRDefault="00D573F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C46B20" w:rsidRDefault="00C46B20">
      <w:pPr>
        <w:ind w:right="300"/>
        <w:rPr>
          <w:rFonts w:ascii="Times New Roman" w:eastAsia="仿宋_GB2312" w:hAnsi="Times New Roman" w:cs="Times New Roman"/>
          <w:sz w:val="30"/>
          <w:szCs w:val="30"/>
        </w:rPr>
      </w:pPr>
    </w:p>
    <w:p w:rsidR="00C46B20" w:rsidRDefault="00C46B20">
      <w:pPr>
        <w:ind w:right="300"/>
        <w:rPr>
          <w:rFonts w:ascii="Times New Roman" w:eastAsia="仿宋_GB2312" w:hAnsi="Times New Roman" w:cs="Times New Roman"/>
          <w:sz w:val="30"/>
          <w:szCs w:val="30"/>
        </w:rPr>
        <w:sectPr w:rsidR="00C46B20">
          <w:footerReference w:type="default" r:id="rId8"/>
          <w:pgSz w:w="11906" w:h="16838"/>
          <w:pgMar w:top="1440" w:right="1800" w:bottom="1440" w:left="1800" w:header="851" w:footer="992" w:gutter="0"/>
          <w:cols w:space="720"/>
          <w:titlePg/>
          <w:docGrid w:type="lines" w:linePitch="312"/>
        </w:sectPr>
      </w:pPr>
    </w:p>
    <w:p w:rsidR="00C46B20" w:rsidRDefault="00D573F9">
      <w:pPr>
        <w:adjustRightInd w:val="0"/>
        <w:spacing w:line="360" w:lineRule="auto"/>
        <w:jc w:val="left"/>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C46B20" w:rsidRDefault="00D573F9">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项目名称：保险、证券公司等非银行金融机构外汇业务市场准入、退出审批；</w:t>
      </w:r>
    </w:p>
    <w:p w:rsidR="00C46B20" w:rsidRDefault="00D573F9">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57014</w:t>
      </w:r>
      <w:r>
        <w:rPr>
          <w:rFonts w:ascii="Times New Roman" w:eastAsia="仿宋_GB2312" w:hAnsi="Times New Roman" w:cs="Times New Roman"/>
          <w:sz w:val="30"/>
          <w:szCs w:val="30"/>
        </w:rPr>
        <w:t>；</w:t>
      </w:r>
    </w:p>
    <w:p w:rsidR="00C46B20" w:rsidRDefault="00D573F9">
      <w:pPr>
        <w:adjustRightIn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C46B20" w:rsidRDefault="00D573F9">
      <w:pPr>
        <w:adjustRightIn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C46B20" w:rsidRDefault="00D573F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保险、证券公司等非银行金融机构外汇业务市场准入、退出审批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C46B20" w:rsidRDefault="00D573F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C46B20" w:rsidRDefault="00D573F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黑体" w:cs="Times New Roman"/>
          <w:sz w:val="30"/>
          <w:szCs w:val="30"/>
        </w:rPr>
        <w:t>非银行金融机构（不含保险公司）结售汇业务资格审批（含初</w:t>
      </w:r>
      <w:r>
        <w:rPr>
          <w:rFonts w:ascii="Times New Roman" w:eastAsia="黑体" w:hAnsi="黑体" w:cs="Times New Roman"/>
          <w:sz w:val="30"/>
          <w:szCs w:val="30"/>
        </w:rPr>
        <w:t>审）</w:t>
      </w:r>
    </w:p>
    <w:p w:rsidR="00C46B20" w:rsidRDefault="00D573F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C46B20" w:rsidRDefault="00D573F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C46B20" w:rsidRDefault="00D573F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《国家外汇管理局关于发布〈境内企业内部成员外汇资金集中运营管理规定〉的通知》（</w:t>
      </w:r>
      <w:proofErr w:type="gramStart"/>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2009</w:t>
      </w:r>
      <w:r>
        <w:rPr>
          <w:rFonts w:ascii="Times New Roman" w:eastAsia="仿宋_GB2312" w:hAnsi="Times New Roman" w:cs="Times New Roman"/>
          <w:sz w:val="30"/>
          <w:szCs w:val="30"/>
        </w:rPr>
        <w:t>〕</w:t>
      </w:r>
      <w:proofErr w:type="gramEnd"/>
      <w:r>
        <w:rPr>
          <w:rFonts w:ascii="Times New Roman" w:eastAsia="仿宋_GB2312" w:hAnsi="Times New Roman" w:cs="Times New Roman"/>
          <w:sz w:val="30"/>
          <w:szCs w:val="30"/>
        </w:rPr>
        <w:t>49</w:t>
      </w:r>
      <w:r>
        <w:rPr>
          <w:rFonts w:ascii="Times New Roman" w:eastAsia="仿宋_GB2312" w:hAnsi="Times New Roman" w:cs="Times New Roman"/>
          <w:sz w:val="30"/>
          <w:szCs w:val="30"/>
        </w:rPr>
        <w:t>号）。</w:t>
      </w:r>
    </w:p>
    <w:p w:rsidR="00C46B20" w:rsidRDefault="00D573F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《国家外汇管理局关于调整金融机构进入银行间外汇市场有关管理政策的通知》（</w:t>
      </w:r>
      <w:proofErr w:type="gramStart"/>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proofErr w:type="gramEnd"/>
      <w:r>
        <w:rPr>
          <w:rFonts w:ascii="Times New Roman" w:eastAsia="仿宋_GB2312" w:hAnsi="Times New Roman" w:cs="Times New Roman"/>
          <w:sz w:val="30"/>
          <w:szCs w:val="30"/>
        </w:rPr>
        <w:t>48</w:t>
      </w:r>
      <w:r>
        <w:rPr>
          <w:rFonts w:ascii="Times New Roman" w:eastAsia="仿宋_GB2312" w:hAnsi="Times New Roman" w:cs="Times New Roman"/>
          <w:sz w:val="30"/>
          <w:szCs w:val="30"/>
        </w:rPr>
        <w:t>号）。</w:t>
      </w:r>
    </w:p>
    <w:p w:rsidR="00C46B20" w:rsidRDefault="00D573F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《国家外汇管理局关于印发〈银行办理结售汇业务管理办法实施细则〉的通知》（</w:t>
      </w:r>
      <w:proofErr w:type="gramStart"/>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proofErr w:type="gramEnd"/>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C46B20" w:rsidRDefault="00D573F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5.</w:t>
      </w:r>
      <w:r>
        <w:rPr>
          <w:rFonts w:ascii="Times New Roman" w:eastAsia="仿宋_GB2312" w:hAnsi="Times New Roman" w:cs="Times New Roman"/>
          <w:sz w:val="30"/>
          <w:szCs w:val="30"/>
        </w:rPr>
        <w:t>《国家外汇管理局关于进一步促进贸易投资便利化完善真实性审核的通知》（</w:t>
      </w:r>
      <w:proofErr w:type="gramStart"/>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proofErr w:type="gramEnd"/>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非银行金融机构将相关申请材料提交所在地外汇局初审后，通过所在地外汇局报国家外汇管理局审批。</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非银行金融机构将相关申请材料提交所在地外汇局初审后，通过所在地外汇局报国家外汇管理局审批。</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C46B20" w:rsidRDefault="00D573F9">
      <w:pPr>
        <w:adjustRightInd w:val="0"/>
        <w:snapToGrid w:val="0"/>
        <w:spacing w:line="360" w:lineRule="auto"/>
        <w:ind w:firstLineChars="200" w:firstLine="600"/>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t>无数量</w:t>
      </w:r>
      <w:proofErr w:type="gramEnd"/>
      <w:r>
        <w:rPr>
          <w:rFonts w:ascii="Times New Roman" w:eastAsia="仿宋_GB2312" w:hAnsi="Times New Roman" w:cs="Times New Roman"/>
          <w:sz w:val="30"/>
          <w:szCs w:val="30"/>
        </w:rPr>
        <w:t>限制。</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申请人条件</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在境内合法注册成立的非银行金融机构。</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具备或符合如下条件的，准予批准：</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）具有开展金融业务资格。</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）具有真实的结售汇需求，且有一定结售汇业务规模（可提供行业公认的排名、业绩认定等）。</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）监管机构或其授权的行业管理组织对其开展结售汇业务许可或无异议。</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）具备完善的业务管理制度。</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）具备办理业务所必需的场所和其他软硬件设施。</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）拥有具备相应业务工作经验的高级管理人员和业务人员。</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879"/>
        <w:gridCol w:w="1000"/>
        <w:gridCol w:w="559"/>
        <w:gridCol w:w="851"/>
        <w:gridCol w:w="567"/>
        <w:gridCol w:w="1226"/>
      </w:tblGrid>
      <w:tr w:rsidR="00C46B20">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87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000"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5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26"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46B20">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1000"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5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46B20" w:rsidRDefault="00C46B20">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46B20" w:rsidRDefault="00C46B20">
            <w:pPr>
              <w:contextualSpacing/>
              <w:jc w:val="left"/>
              <w:rPr>
                <w:rFonts w:ascii="Times New Roman" w:eastAsia="仿宋_GB2312" w:hAnsi="Times New Roman" w:cs="Times New Roman"/>
                <w:sz w:val="24"/>
                <w:szCs w:val="24"/>
              </w:rPr>
            </w:pPr>
          </w:p>
        </w:tc>
      </w:tr>
      <w:tr w:rsidR="00C46B20">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87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监管机构颁发的金融业务许可文件</w:t>
            </w:r>
          </w:p>
        </w:tc>
        <w:tc>
          <w:tcPr>
            <w:tcW w:w="1000"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46B20" w:rsidRDefault="00C46B20">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46B20" w:rsidRDefault="00D573F9">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kern w:val="0"/>
                <w:sz w:val="24"/>
                <w:szCs w:val="24"/>
              </w:rPr>
              <w:t>验</w:t>
            </w:r>
            <w:proofErr w:type="gramEnd"/>
            <w:r>
              <w:rPr>
                <w:rFonts w:ascii="Times New Roman" w:eastAsia="仿宋_GB2312" w:hAnsi="Times New Roman" w:cs="Times New Roman"/>
                <w:kern w:val="0"/>
                <w:sz w:val="24"/>
                <w:szCs w:val="24"/>
              </w:rPr>
              <w:t>原件，留存加盖公章的复印件</w:t>
            </w:r>
          </w:p>
        </w:tc>
      </w:tr>
      <w:tr w:rsidR="00C46B20">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87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结售汇业务内部管理规章制度</w:t>
            </w:r>
          </w:p>
        </w:tc>
        <w:tc>
          <w:tcPr>
            <w:tcW w:w="1000"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46B20" w:rsidRDefault="00C46B20">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46B20" w:rsidRDefault="00D573F9">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kern w:val="0"/>
                <w:sz w:val="24"/>
                <w:szCs w:val="24"/>
              </w:rPr>
              <w:t>验</w:t>
            </w:r>
            <w:proofErr w:type="gramEnd"/>
            <w:r>
              <w:rPr>
                <w:rFonts w:ascii="Times New Roman" w:eastAsia="仿宋_GB2312" w:hAnsi="Times New Roman" w:cs="Times New Roman"/>
                <w:kern w:val="0"/>
                <w:sz w:val="24"/>
                <w:szCs w:val="24"/>
              </w:rPr>
              <w:t>原件，留存加盖公章的复印件</w:t>
            </w:r>
          </w:p>
        </w:tc>
      </w:tr>
      <w:tr w:rsidR="00C46B20">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87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具备办理结售汇业务所必需的软硬件设施的说明材料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46B20" w:rsidRDefault="00C46B20">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46B20" w:rsidRDefault="00D573F9">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kern w:val="0"/>
                <w:sz w:val="24"/>
                <w:szCs w:val="24"/>
              </w:rPr>
              <w:t>验</w:t>
            </w:r>
            <w:proofErr w:type="gramEnd"/>
            <w:r>
              <w:rPr>
                <w:rFonts w:ascii="Times New Roman" w:eastAsia="仿宋_GB2312" w:hAnsi="Times New Roman" w:cs="Times New Roman"/>
                <w:kern w:val="0"/>
                <w:sz w:val="24"/>
                <w:szCs w:val="24"/>
              </w:rPr>
              <w:t>原件，留存加盖公章的复印件</w:t>
            </w:r>
          </w:p>
        </w:tc>
      </w:tr>
      <w:tr w:rsidR="00C46B20">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387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拥有具备相应业务工作经验的高级管理人员和业务人员的说明材料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46B20" w:rsidRDefault="00C46B20">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46B20" w:rsidRDefault="00D573F9">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kern w:val="0"/>
                <w:sz w:val="24"/>
                <w:szCs w:val="24"/>
              </w:rPr>
              <w:t>验</w:t>
            </w:r>
            <w:proofErr w:type="gramEnd"/>
            <w:r>
              <w:rPr>
                <w:rFonts w:ascii="Times New Roman" w:eastAsia="仿宋_GB2312" w:hAnsi="Times New Roman" w:cs="Times New Roman"/>
                <w:kern w:val="0"/>
                <w:sz w:val="24"/>
                <w:szCs w:val="24"/>
              </w:rPr>
              <w:t>原件，留存加盖公章的复印件</w:t>
            </w:r>
          </w:p>
        </w:tc>
      </w:tr>
      <w:tr w:rsidR="00C46B20">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387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46B20" w:rsidRDefault="00C46B20">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46B20" w:rsidRDefault="00D573F9">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kern w:val="0"/>
                <w:sz w:val="24"/>
                <w:szCs w:val="24"/>
              </w:rPr>
              <w:t>验</w:t>
            </w:r>
            <w:proofErr w:type="gramEnd"/>
            <w:r>
              <w:rPr>
                <w:rFonts w:ascii="Times New Roman" w:eastAsia="仿宋_GB2312" w:hAnsi="Times New Roman" w:cs="Times New Roman"/>
                <w:kern w:val="0"/>
                <w:sz w:val="24"/>
                <w:szCs w:val="24"/>
              </w:rPr>
              <w:t>原件，留存加盖公章的复印件</w:t>
            </w:r>
          </w:p>
        </w:tc>
      </w:tr>
      <w:tr w:rsidR="00C46B20">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387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46B20" w:rsidRDefault="00D573F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46B20" w:rsidRDefault="00C46B20">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46B20" w:rsidRDefault="00D573F9">
            <w:pPr>
              <w:jc w:val="left"/>
              <w:rPr>
                <w:rFonts w:ascii="Times New Roman" w:eastAsia="仿宋_GB2312" w:hAnsi="Times New Roman" w:cs="Times New Roman"/>
                <w:sz w:val="24"/>
                <w:szCs w:val="24"/>
              </w:rPr>
            </w:pPr>
            <w:proofErr w:type="gramStart"/>
            <w:r>
              <w:rPr>
                <w:rFonts w:ascii="Times New Roman" w:eastAsia="仿宋_GB2312" w:hAnsi="Times New Roman" w:cs="Times New Roman"/>
                <w:kern w:val="0"/>
                <w:sz w:val="24"/>
                <w:szCs w:val="24"/>
              </w:rPr>
              <w:t>验</w:t>
            </w:r>
            <w:proofErr w:type="gramEnd"/>
            <w:r>
              <w:rPr>
                <w:rFonts w:ascii="Times New Roman" w:eastAsia="仿宋_GB2312" w:hAnsi="Times New Roman" w:cs="Times New Roman"/>
                <w:kern w:val="0"/>
                <w:sz w:val="24"/>
                <w:szCs w:val="24"/>
              </w:rPr>
              <w:t>原件，留存加盖公章的复印件</w:t>
            </w:r>
          </w:p>
        </w:tc>
      </w:tr>
    </w:tbl>
    <w:p w:rsidR="00C46B20" w:rsidRDefault="00C46B20">
      <w:pPr>
        <w:rPr>
          <w:rFonts w:ascii="Times New Roman" w:eastAsia="黑体" w:hAnsi="Times New Roman" w:cs="Times New Roman"/>
          <w:sz w:val="30"/>
          <w:szCs w:val="30"/>
        </w:rPr>
      </w:pP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C46B20" w:rsidRDefault="00D573F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申请人可通过所在地外汇局向国家外汇管理局资本项目管理司提交材料。初审时，申请人可通过所在地外汇局业务窗口提交材料。</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（八）基本办理流程</w:t>
      </w:r>
    </w:p>
    <w:p w:rsidR="00C46B20" w:rsidRDefault="00D573F9">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C46B20" w:rsidRDefault="00D573F9">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C46B20" w:rsidRDefault="00D573F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一般程序：申请、告知补正、受理、审核、办理登记或不予许可、出具相关业务办理凭证。初审的一般程序：申请、告知补正、受理、审核、上报初审结论。</w:t>
      </w:r>
    </w:p>
    <w:p w:rsidR="00C46B20" w:rsidRDefault="00D573F9">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C46B20" w:rsidRDefault="00D573F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初审：申请人提交材料备齐备之</w:t>
      </w:r>
      <w:r>
        <w:rPr>
          <w:rFonts w:ascii="Times New Roman" w:eastAsia="仿宋_GB2312" w:hAnsi="Times New Roman" w:cs="Times New Roman"/>
          <w:sz w:val="30"/>
          <w:szCs w:val="30"/>
        </w:rPr>
        <w:t>日起初审</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个工作日。所在地国家外汇管理局分局（外汇管理部）受国家外汇管理局委托，对申请人相关软硬件设施进行实地检查并在相关要求和设施符合标准后，于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个工作日内完成对国家外汇管理局上报初审意见。</w:t>
      </w:r>
    </w:p>
    <w:p w:rsidR="00C46B20" w:rsidRDefault="00D573F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国家外汇管理局收到外汇分局（外汇管理部）上报的初审材料，于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个工作日内做出结售汇业务资格许可，并核定其结售汇综合头寸。</w:t>
      </w:r>
    </w:p>
    <w:p w:rsidR="00C46B20" w:rsidRDefault="00D573F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C46B20" w:rsidRDefault="00D573F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不收费。</w:t>
      </w:r>
    </w:p>
    <w:p w:rsidR="00C46B20" w:rsidRDefault="00D573F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C46B20" w:rsidRDefault="00D573F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批复文件。</w:t>
      </w:r>
    </w:p>
    <w:p w:rsidR="00C46B20" w:rsidRDefault="00D573F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rPr>
        <w:t>初审意见上报国家外汇管理局。国家外汇管理局向初审外汇局批复后，由初审外汇局向申请人出具批复文件。</w:t>
      </w:r>
    </w:p>
    <w:p w:rsidR="00C46B20" w:rsidRDefault="00D573F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C46B20" w:rsidRDefault="00D573F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国家外汇管理局通过发文回复初审外汇局（外汇管理部）。初审外汇局出具的批复文件通过现场告知或电话通知申请人，并通过现场领取或邮寄方式将结果送达。</w:t>
      </w:r>
    </w:p>
    <w:p w:rsidR="00C46B20" w:rsidRDefault="00D573F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C46B20" w:rsidRDefault="00D573F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w:t>
      </w:r>
      <w:proofErr w:type="gramStart"/>
      <w:r>
        <w:rPr>
          <w:rFonts w:ascii="Times New Roman" w:eastAsia="仿宋_GB2312" w:hAnsi="Times New Roman" w:cs="Times New Roman"/>
          <w:sz w:val="30"/>
          <w:szCs w:val="30"/>
        </w:rPr>
        <w:t>规</w:t>
      </w:r>
      <w:proofErr w:type="gramEnd"/>
      <w:r>
        <w:rPr>
          <w:rFonts w:ascii="Times New Roman" w:eastAsia="仿宋_GB2312" w:hAnsi="Times New Roman" w:cs="Times New Roman"/>
          <w:sz w:val="30"/>
          <w:szCs w:val="30"/>
        </w:rPr>
        <w:t>办理相关业务，重要信息发生变更须及时向国家外汇管理局报备，全面、及时、准确进行国际收支申报、报送相关数据信息等。</w:t>
      </w:r>
    </w:p>
    <w:p w:rsidR="00C46B20" w:rsidRDefault="00D573F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r w:rsidR="00BC2EA2" w:rsidRPr="00BC2EA2">
        <w:rPr>
          <w:rFonts w:ascii="Times New Roman" w:eastAsia="黑体" w:hAnsi="Times New Roman" w:cs="Times New Roman" w:hint="eastAsia"/>
          <w:sz w:val="30"/>
          <w:szCs w:val="30"/>
        </w:rPr>
        <w:t>咨询途径、监督和投诉、办公地址和时间、公开查询</w:t>
      </w:r>
      <w:r w:rsidR="002B70D2">
        <w:rPr>
          <w:rFonts w:ascii="Times New Roman" w:eastAsia="黑体" w:hAnsi="Times New Roman" w:cs="Times New Roman" w:hint="eastAsia"/>
          <w:sz w:val="30"/>
          <w:szCs w:val="30"/>
        </w:rPr>
        <w:t>方式</w:t>
      </w:r>
      <w:r w:rsidR="00BC2EA2" w:rsidRPr="00BC2EA2">
        <w:rPr>
          <w:rFonts w:ascii="Times New Roman" w:eastAsia="黑体" w:hAnsi="Times New Roman" w:cs="Times New Roman" w:hint="eastAsia"/>
          <w:sz w:val="30"/>
          <w:szCs w:val="30"/>
        </w:rPr>
        <w:t>等</w:t>
      </w:r>
    </w:p>
    <w:p w:rsidR="002B70D2" w:rsidRDefault="002B70D2" w:rsidP="002B70D2">
      <w:pPr>
        <w:adjustRightInd w:val="0"/>
        <w:snapToGrid w:val="0"/>
        <w:spacing w:line="360" w:lineRule="auto"/>
        <w:ind w:firstLine="601"/>
        <w:rPr>
          <w:rFonts w:ascii="Times New Roman" w:eastAsia="仿宋_GB2312" w:hAnsi="Times New Roman" w:cs="Times New Roman"/>
          <w:sz w:val="30"/>
          <w:szCs w:val="30"/>
        </w:rPr>
      </w:pPr>
      <w:r w:rsidRPr="002B70D2">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2B70D2">
        <w:rPr>
          <w:rFonts w:ascii="Times New Roman" w:eastAsia="仿宋_GB2312" w:hAnsi="Times New Roman" w:cs="Times New Roman" w:hint="eastAsia"/>
          <w:sz w:val="30"/>
          <w:szCs w:val="30"/>
        </w:rPr>
        <w:t>www.safe.gov.cn</w:t>
      </w:r>
      <w:r w:rsidRPr="002B70D2">
        <w:rPr>
          <w:rFonts w:ascii="Times New Roman" w:eastAsia="仿宋_GB2312" w:hAnsi="Times New Roman" w:cs="Times New Roman" w:hint="eastAsia"/>
          <w:sz w:val="30"/>
          <w:szCs w:val="30"/>
        </w:rPr>
        <w:t>链接至江苏分局“业务指南”栏目进行，也可通过栏目中公布的电话进行。</w:t>
      </w:r>
    </w:p>
    <w:p w:rsidR="00C46B20" w:rsidRDefault="00D573F9" w:rsidP="002B70D2">
      <w:pPr>
        <w:adjustRightInd w:val="0"/>
        <w:snapToGrid w:val="0"/>
        <w:spacing w:line="360" w:lineRule="auto"/>
        <w:ind w:firstLine="601"/>
        <w:rPr>
          <w:rFonts w:ascii="Times New Roman" w:eastAsia="仿宋_GB2312" w:hAnsi="Times New Roman" w:cs="Times New Roman"/>
          <w:sz w:val="30"/>
          <w:szCs w:val="30"/>
        </w:rPr>
      </w:pPr>
      <w:bookmarkStart w:id="0" w:name="_GoBack"/>
      <w:bookmarkEnd w:id="0"/>
      <w:r>
        <w:rPr>
          <w:rFonts w:ascii="Times New Roman" w:hAnsi="Times New Roman" w:cs="Times New Roman"/>
        </w:rPr>
        <w:br w:type="page"/>
      </w:r>
      <w:r>
        <w:rPr>
          <w:rFonts w:ascii="Times New Roman" w:eastAsia="仿宋_GB2312" w:hAnsi="Times New Roman" w:cs="Times New Roman"/>
          <w:sz w:val="30"/>
          <w:szCs w:val="30"/>
        </w:rPr>
        <w:lastRenderedPageBreak/>
        <w:t>附录一</w:t>
      </w:r>
    </w:p>
    <w:p w:rsidR="00C46B20" w:rsidRDefault="00D573F9">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 o:spid="_x0000_s1027" style="position:absolute;left:0;text-align:left;margin-left:-41.25pt;margin-top:27.05pt;width:470.35pt;height:681.4pt;z-index:1" coordorigin="1425,1526" coordsize="9407,13628">
            <v:shapetype id="_x0000_t32" coordsize="21600,21600" o:spt="32" o:oned="t" path="m,l21600,21600e" filled="f">
              <v:path arrowok="t" fillok="f" o:connecttype="none"/>
              <o:lock v:ext="edit" shapetype="t"/>
            </v:shapetype>
            <v:shape id="AutoShape 3" o:spid="_x0000_s1028" type="#_x0000_t32" style="position:absolute;left:6601;top:11865;width:1;height:715" o:connectortype="straight" o:preferrelative="t">
              <v:stroke miterlimit="2"/>
            </v:shape>
            <v:group id="Group 4" o:spid="_x0000_s1029" style="position:absolute;left:1425;top:1526;width:9407;height:13628" coordorigin="1425,1526" coordsize="9407,13628">
              <v:shape id="AutoShape 5" o:spid="_x0000_s1030" type="#_x0000_t32" style="position:absolute;left:9019;top:12580;width:17;height:627" o:connectortype="straight" o:preferrelative="t">
                <v:stroke endarrow="block" miterlimit="2"/>
              </v:shape>
              <v:shape id="AutoShape 6" o:spid="_x0000_s1031" type="#_x0000_t32" style="position:absolute;left:4049;top:12580;width:4987;height:0" o:connectortype="straight" o:preferrelative="t">
                <v:stroke miterlimit="2"/>
              </v:shape>
              <v:group id="Group 7" o:spid="_x0000_s1032" style="position:absolute;left:1425;top:1526;width:9407;height:13628" coordorigin="1425,1526" coordsize="9407,13628">
                <v:rect id="Rectangle 8" o:spid="_x0000_s1033" style="position:absolute;left:5093;top:11586;width:2985;height:534" o:preferrelative="t">
                  <v:stroke miterlimit="2"/>
                  <v:textbox>
                    <w:txbxContent>
                      <w:p w:rsidR="00C46B20" w:rsidRDefault="00D573F9">
                        <w:pPr>
                          <w:jc w:val="center"/>
                        </w:pPr>
                        <w:r>
                          <w:rPr>
                            <w:rFonts w:hint="eastAsia"/>
                          </w:rPr>
                          <w:t>国家外汇管理局审核</w:t>
                        </w:r>
                      </w:p>
                    </w:txbxContent>
                  </v:textbox>
                </v:rect>
                <v:group id="Group 9" o:spid="_x0000_s1034" style="position:absolute;left:1425;top:1526;width:9407;height:13628" coordorigin="1425,1526" coordsize="9407,13628">
                  <v:shapetype id="_x0000_t116" coordsize="21600,21600" o:spt="116" path="m3475,qx,10800,3475,21600l18125,21600qx21600,10800,18125,xe">
                    <v:stroke joinstyle="miter"/>
                    <v:path gradientshapeok="t" o:connecttype="rect" textboxrect="1018,3163,20582,18437"/>
                  </v:shapetype>
                  <v:shape id="AutoShape 10" o:spid="_x0000_s1035" type="#_x0000_t116" style="position:absolute;left:7715;top:13147;width:3117;height:1329" o:preferrelative="t">
                    <v:stroke miterlimit="2"/>
                    <v:textbox>
                      <w:txbxContent>
                        <w:p w:rsidR="00C46B20" w:rsidRDefault="00D573F9">
                          <w:pPr>
                            <w:jc w:val="center"/>
                          </w:pPr>
                          <w:r>
                            <w:rPr>
                              <w:rFonts w:hint="eastAsia"/>
                            </w:rPr>
                            <w:t>依法</w:t>
                          </w:r>
                          <w:proofErr w:type="gramStart"/>
                          <w:r>
                            <w:rPr>
                              <w:rFonts w:hint="eastAsia"/>
                            </w:rPr>
                            <w:t>作出</w:t>
                          </w:r>
                          <w:proofErr w:type="gramEnd"/>
                          <w:r>
                            <w:rPr>
                              <w:rFonts w:hint="eastAsia"/>
                            </w:rPr>
                            <w:t>不予许可决定，</w:t>
                          </w:r>
                        </w:p>
                        <w:p w:rsidR="00C46B20" w:rsidRDefault="00D573F9">
                          <w:pPr>
                            <w:jc w:val="center"/>
                          </w:pPr>
                          <w:r>
                            <w:rPr>
                              <w:rFonts w:hint="eastAsia"/>
                            </w:rPr>
                            <w:t>并送达</w:t>
                          </w:r>
                        </w:p>
                      </w:txbxContent>
                    </v:textbox>
                  </v:shape>
                  <v:shape id="AutoShape 11" o:spid="_x0000_s1036" type="#_x0000_t116" style="position:absolute;left:2070;top:14476;width:4791;height:678" o:preferrelative="t">
                    <v:stroke miterlimit="2"/>
                    <v:textbox>
                      <w:txbxContent>
                        <w:p w:rsidR="00C46B20" w:rsidRDefault="00D573F9">
                          <w:pPr>
                            <w:jc w:val="center"/>
                          </w:pPr>
                          <w:r>
                            <w:rPr>
                              <w:rFonts w:hint="eastAsia"/>
                            </w:rPr>
                            <w:t>初审外汇局出具批复文件，并送达</w:t>
                          </w:r>
                        </w:p>
                      </w:txbxContent>
                    </v:textbox>
                  </v:shape>
                  <v:shape id="AutoShape 12" o:spid="_x0000_s1037" type="#_x0000_t32" style="position:absolute;left:4035;top:12580;width:0;height:567" o:connectortype="straight" o:preferrelative="t">
                    <v:stroke endarrow="block" miterlimit="2"/>
                  </v:shape>
                  <v:rect id="Rectangle 13" o:spid="_x0000_s1038" style="position:absolute;left:1934;top:13147;width:4666;height:859" o:preferrelative="t">
                    <v:stroke miterlimit="2"/>
                    <v:textbox>
                      <w:txbxContent>
                        <w:p w:rsidR="00C46B20" w:rsidRDefault="00D573F9">
                          <w:pPr>
                            <w:jc w:val="center"/>
                          </w:pPr>
                          <w:r>
                            <w:rPr>
                              <w:rFonts w:hint="eastAsia"/>
                            </w:rPr>
                            <w:t>依法予以许可，</w:t>
                          </w:r>
                        </w:p>
                        <w:p w:rsidR="00C46B20" w:rsidRDefault="00D573F9">
                          <w:pPr>
                            <w:jc w:val="center"/>
                          </w:pPr>
                          <w:r>
                            <w:rPr>
                              <w:rFonts w:hint="eastAsia"/>
                            </w:rPr>
                            <w:t>为初审外汇局出具批复文件</w:t>
                          </w:r>
                        </w:p>
                      </w:txbxContent>
                    </v:textbox>
                  </v:rect>
                  <v:shape id="AutoShape 14" o:spid="_x0000_s1039" type="#_x0000_t32" style="position:absolute;left:4049;top:14006;width:0;height:470" o:connectortype="straight" o:preferrelative="t">
                    <v:stroke endarrow="block" miterlimit="2"/>
                  </v:shape>
                  <v:shape id="AutoShape 15" o:spid="_x0000_s1040" type="#_x0000_t32" style="position:absolute;left:6647;top:10960;width:1;height:626" o:connectortype="straight" o:preferrelative="t">
                    <v:stroke endarrow="block" miterlimit="2"/>
                  </v:shape>
                  <v:group id="Group 16" o:spid="_x0000_s1041" style="position:absolute;left:1425;top:1526;width:9131;height:11606" coordorigin="1425,1526" coordsize="9131,11606">
                    <v:shape id="AutoShape 17" o:spid="_x0000_s1042" type="#_x0000_t32" style="position:absolute;left:6600;top:8677;width:1;height:764" o:connectortype="straight" o:preferrelative="t">
                      <v:stroke endarrow="block" miterlimit="2"/>
                    </v:shape>
                    <v:shape id="AutoShape 18" o:spid="_x0000_s1043" type="#_x0000_t116" style="position:absolute;left:1920;top:1526;width:3738;height:703" o:preferrelative="t">
                      <v:stroke miterlimit="2"/>
                      <v:textbox>
                        <w:txbxContent>
                          <w:p w:rsidR="00C46B20" w:rsidRDefault="00D573F9">
                            <w:pPr>
                              <w:jc w:val="center"/>
                            </w:pPr>
                            <w:r>
                              <w:rPr>
                                <w:rFonts w:hint="eastAsia"/>
                              </w:rPr>
                              <w:t>申请人提出书面申请，并提交材料</w:t>
                            </w:r>
                          </w:p>
                        </w:txbxContent>
                      </v:textbox>
                    </v:shape>
                    <v:group id="Group 19" o:spid="_x0000_s1044" style="position:absolute;left:1425;top:2261;width:9131;height:6416" coordorigin="1425,2301" coordsize="9131,641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5" type="#_x0000_t34" style="position:absolute;left:8016;top:4169;width:3790;height:1285;rotation:270" o:connectortype="elbow" o:preferrelative="t" adj="45">
                        <v:stroke miterlimit="2"/>
                      </v:shape>
                      <v:group id="Group 21" o:spid="_x0000_s1046" style="position:absolute;left:1425;top:2301;width:9131;height:6416" coordorigin="1446,3821" coordsize="9131,6416">
                        <v:shape id="AutoShape 22" o:spid="_x0000_s1047" type="#_x0000_t32" style="position:absolute;left:7549;top:7016;width:0;height:378" o:connectortype="straight" o:preferrelative="t">
                          <v:stroke endarrow="block" miterlimit="2"/>
                        </v:shape>
                        <v:shapetype id="_x0000_t4" coordsize="21600,21600" o:spt="4" path="m10800,l,10800,10800,21600,21600,10800xe">
                          <v:stroke joinstyle="miter"/>
                          <v:path gradientshapeok="t" o:connecttype="rect" textboxrect="5400,5400,16200,16200"/>
                        </v:shapetype>
                        <v:shape id="AutoShape 23" o:spid="_x0000_s1048" type="#_x0000_t4" style="position:absolute;left:5812;top:7377;width:3480;height:1733" o:preferrelative="t">
                          <v:stroke miterlimit="2"/>
                          <v:textbox>
                            <w:txbxContent>
                              <w:p w:rsidR="00C46B20" w:rsidRDefault="00D573F9">
                                <w:pPr>
                                  <w:jc w:val="center"/>
                                </w:pPr>
                                <w:r>
                                  <w:rPr>
                                    <w:rFonts w:hint="eastAsia"/>
                                  </w:rPr>
                                  <w:t>申请人补充材料</w:t>
                                </w:r>
                              </w:p>
                            </w:txbxContent>
                          </v:textbox>
                        </v:shape>
                        <v:shape id="AutoShape 24" o:spid="_x0000_s1049" type="#_x0000_t32" style="position:absolute;left:3011;top:9967;width:1213;height:1" o:connectortype="straight" o:preferrelative="t">
                          <v:stroke endarrow="block" miterlimit="2"/>
                        </v:shape>
                        <v:shape id="AutoShape 25" o:spid="_x0000_s1050" type="#_x0000_t32" style="position:absolute;left:3011;top:6530;width:1;height:3437" o:connectortype="straight" o:preferrelative="t">
                          <v:stroke miterlimit="2"/>
                        </v:shape>
                        <v:shapetype id="_x0000_t202" coordsize="21600,21600" o:spt="202" path="m,l,21600r21600,l21600,xe">
                          <v:stroke joinstyle="miter"/>
                          <v:path gradientshapeok="t" o:connecttype="rect"/>
                        </v:shapetype>
                        <v:shape id="Text Box 26" o:spid="_x0000_s1051" type="#_x0000_t202" style="position:absolute;left:2253;top:7824;width:508;height:1152" o:preferrelative="t" strokecolor="white">
                          <v:stroke miterlimit="2"/>
                          <v:textbox>
                            <w:txbxContent>
                              <w:p w:rsidR="00C46B20" w:rsidRDefault="00D573F9">
                                <w:r>
                                  <w:rPr>
                                    <w:rFonts w:hint="eastAsia"/>
                                  </w:rPr>
                                  <w:t>是</w:t>
                                </w:r>
                              </w:p>
                            </w:txbxContent>
                          </v:textbox>
                        </v:shape>
                        <v:shape id="AutoShape 27" o:spid="_x0000_s1052" type="#_x0000_t32" style="position:absolute;left:7549;top:9110;width:0;height:608" o:connectortype="straight" o:preferrelative="t">
                          <v:stroke endarrow="block" miterlimit="2"/>
                        </v:shape>
                        <v:shape id="Text Box 28" o:spid="_x0000_s1053" type="#_x0000_t202" style="position:absolute;left:4429;top:9110;width:2737;height:477" o:preferrelative="t" strokecolor="white">
                          <v:stroke miterlimit="2"/>
                          <v:textbox>
                            <w:txbxContent>
                              <w:p w:rsidR="00C46B20" w:rsidRDefault="00D573F9">
                                <w:pPr>
                                  <w:jc w:val="center"/>
                                </w:pPr>
                                <w:r>
                                  <w:rPr>
                                    <w:rFonts w:hint="eastAsia"/>
                                  </w:rPr>
                                  <w:t>材料齐全并符合受理要求</w:t>
                                </w:r>
                              </w:p>
                            </w:txbxContent>
                          </v:textbox>
                        </v:shape>
                        <v:rect id="Rectangle 29" o:spid="_x0000_s1054" style="position:absolute;left:4224;top:9718;width:5359;height:519" o:preferrelative="t">
                          <v:stroke miterlimit="2"/>
                          <v:textbox>
                            <w:txbxContent>
                              <w:p w:rsidR="00C46B20" w:rsidRDefault="00D573F9">
                                <w:pPr>
                                  <w:jc w:val="center"/>
                                </w:pPr>
                                <w:r>
                                  <w:rPr>
                                    <w:rFonts w:hint="eastAsia"/>
                                  </w:rPr>
                                  <w:t>依法应予受理，出具行政审批受理单</w:t>
                                </w:r>
                              </w:p>
                              <w:p w:rsidR="00C46B20" w:rsidRDefault="00C46B20"/>
                            </w:txbxContent>
                          </v:textbox>
                        </v:rect>
                        <v:shape id="AutoShape 30" o:spid="_x0000_s1055" type="#_x0000_t32" style="position:absolute;left:4668;top:5550;width:990;height:0" o:connectortype="straight" o:preferrelative="t">
                          <v:stroke miterlimit="2"/>
                        </v:shape>
                        <v:shape id="AutoShape 31" o:spid="_x0000_s1056" type="#_x0000_t32" style="position:absolute;left:5658;top:4533;width:0;height:1921" o:connectortype="straight" o:preferrelative="t">
                          <v:stroke miterlimit="2"/>
                        </v:shape>
                        <v:shape id="AutoShape 32" o:spid="_x0000_s1057" type="#_x0000_t4" style="position:absolute;left:1446;top:4484;width:3195;height:2131" o:preferrelative="t">
                          <v:stroke miterlimit="2"/>
                          <v:textbox>
                            <w:txbxContent>
                              <w:p w:rsidR="00C46B20" w:rsidRDefault="00D573F9">
                                <w:pPr>
                                  <w:jc w:val="center"/>
                                </w:pPr>
                                <w:r>
                                  <w:rPr>
                                    <w:rFonts w:hint="eastAsia"/>
                                  </w:rPr>
                                  <w:t>接件（</w:t>
                                </w:r>
                                <w:r>
                                  <w:rPr>
                                    <w:rFonts w:hint="eastAsia"/>
                                  </w:rPr>
                                  <w:t>5</w:t>
                                </w:r>
                                <w:r>
                                  <w:rPr>
                                    <w:rFonts w:hint="eastAsia"/>
                                  </w:rPr>
                                  <w:t>个工作日）</w:t>
                                </w:r>
                                <w:proofErr w:type="gramStart"/>
                                <w:r>
                                  <w:rPr>
                                    <w:rFonts w:hint="eastAsia"/>
                                  </w:rPr>
                                  <w:t>作出</w:t>
                                </w:r>
                                <w:proofErr w:type="gramEnd"/>
                                <w:r>
                                  <w:rPr>
                                    <w:rFonts w:hint="eastAsia"/>
                                  </w:rPr>
                                  <w:t>是否受理决定</w:t>
                                </w:r>
                              </w:p>
                            </w:txbxContent>
                          </v:textbox>
                        </v:shape>
                        <v:shape id="AutoShape 33" o:spid="_x0000_s1058" type="#_x0000_t32" style="position:absolute;left:5686;top:6453;width:564;height:1" o:connectortype="straight" o:preferrelative="t">
                          <v:stroke endarrow="block" miterlimit="2"/>
                        </v:shape>
                        <v:shape id="AutoShape 34" o:spid="_x0000_s1059" type="#_x0000_t32" style="position:absolute;left:5658;top:4533;width:564;height:0" o:connectortype="straight" o:preferrelative="t">
                          <v:stroke endarrow="block" miterlimit="2"/>
                        </v:shape>
                        <v:rect id="Rectangle 35" o:spid="_x0000_s1060" style="position:absolute;left:6222;top:5885;width:3190;height:1114" o:preferrelative="t">
                          <v:stroke miterlimit="2"/>
                          <v:textbox>
                            <w:txbxContent>
                              <w:p w:rsidR="00C46B20" w:rsidRDefault="00D573F9">
                                <w:pPr>
                                  <w:jc w:val="center"/>
                                </w:pPr>
                                <w:r>
                                  <w:rPr>
                                    <w:rFonts w:hint="eastAsia"/>
                                  </w:rPr>
                                  <w:t>材料不全或不符合法定形式的，一次性告知补正材料，</w:t>
                                </w:r>
                              </w:p>
                              <w:p w:rsidR="00C46B20" w:rsidRDefault="00D573F9">
                                <w:pPr>
                                  <w:jc w:val="center"/>
                                </w:pPr>
                                <w:r>
                                  <w:rPr>
                                    <w:rFonts w:hint="eastAsia"/>
                                  </w:rPr>
                                  <w:t>出具行政审批补正材料通知书</w:t>
                                </w:r>
                              </w:p>
                              <w:p w:rsidR="00C46B20" w:rsidRDefault="00C46B20"/>
                            </w:txbxContent>
                          </v:textbox>
                        </v:rect>
                        <v:shape id="AutoShape 36" o:spid="_x0000_s1061" type="#_x0000_t116" style="position:absolute;left:6282;top:3821;width:2919;height:1483" o:preferrelative="t">
                          <v:stroke miterlimit="2"/>
                          <v:textbox>
                            <w:txbxContent>
                              <w:p w:rsidR="00C46B20" w:rsidRDefault="00D573F9">
                                <w:pPr>
                                  <w:jc w:val="center"/>
                                </w:pPr>
                                <w:r>
                                  <w:rPr>
                                    <w:rFonts w:hint="eastAsia"/>
                                  </w:rPr>
                                  <w:t>依法不予受理的，</w:t>
                                </w:r>
                                <w:proofErr w:type="gramStart"/>
                                <w:r>
                                  <w:rPr>
                                    <w:rFonts w:hint="eastAsia"/>
                                  </w:rPr>
                                  <w:t>作出</w:t>
                                </w:r>
                                <w:proofErr w:type="gramEnd"/>
                                <w:r>
                                  <w:rPr>
                                    <w:rFonts w:hint="eastAsia"/>
                                  </w:rPr>
                                  <w:t>不予受理决定，出具不予受理行政审批申请通知书</w:t>
                                </w:r>
                              </w:p>
                              <w:p w:rsidR="00C46B20" w:rsidRDefault="00C46B20">
                                <w:pPr>
                                  <w:jc w:val="center"/>
                                </w:pPr>
                              </w:p>
                            </w:txbxContent>
                          </v:textbox>
                        </v:shape>
                        <v:shape id="Text Box 37" o:spid="_x0000_s1062" type="#_x0000_t202" style="position:absolute;left:4834;top:4762;width:508;height:471" o:preferrelative="t" strokecolor="white">
                          <v:stroke miterlimit="2"/>
                          <v:textbox style="mso-fit-shape-to-text:t">
                            <w:txbxContent>
                              <w:p w:rsidR="00C46B20" w:rsidRDefault="00D573F9">
                                <w:proofErr w:type="gramStart"/>
                                <w:r>
                                  <w:rPr>
                                    <w:rFonts w:hint="eastAsia"/>
                                  </w:rPr>
                                  <w:t>否</w:t>
                                </w:r>
                                <w:proofErr w:type="gramEnd"/>
                              </w:p>
                            </w:txbxContent>
                          </v:textbox>
                        </v:shape>
                        <v:shape id="Text Box 38" o:spid="_x0000_s1063" type="#_x0000_t202" style="position:absolute;left:9583;top:4841;width:823;height:2553" o:preferrelative="t" strokecolor="white">
                          <v:stroke miterlimit="2"/>
                          <v:textbox>
                            <w:txbxContent>
                              <w:p w:rsidR="00C46B20" w:rsidRDefault="00D573F9">
                                <w:pPr>
                                  <w:jc w:val="center"/>
                                </w:pPr>
                                <w:r>
                                  <w:rPr>
                                    <w:rFonts w:hint="eastAsia"/>
                                  </w:rPr>
                                  <w:t>不能提供符合受理要求的</w:t>
                                </w:r>
                              </w:p>
                              <w:p w:rsidR="00C46B20" w:rsidRDefault="00D573F9">
                                <w:pPr>
                                  <w:jc w:val="center"/>
                                </w:pPr>
                                <w:r>
                                  <w:rPr>
                                    <w:rFonts w:hint="eastAsia"/>
                                  </w:rPr>
                                  <w:t>材料</w:t>
                                </w:r>
                              </w:p>
                            </w:txbxContent>
                          </v:textbox>
                        </v:shape>
                        <v:shape id="AutoShape 39" o:spid="_x0000_s1064" type="#_x0000_t32" style="position:absolute;left:9231;top:4464;width:1346;height:20;flip:x" o:connectortype="straight" o:preferrelative="t">
                          <v:stroke endarrow="block" miterlimit="2"/>
                        </v:shape>
                      </v:group>
                    </v:group>
                    <v:shape id="AutoShape 40" o:spid="_x0000_s1065" type="#_x0000_t32" style="position:absolute;left:3011;top:2229;width:1;height:695;flip:x" o:connectortype="straight" o:preferrelative="t">
                      <v:stroke endarrow="block" miterlimit="2"/>
                    </v:shape>
                    <v:shape id="AutoShape 41" o:spid="_x0000_s1066" type="#_x0000_t4" style="position:absolute;left:3450;top:8996;width:6375;height:2160" o:preferrelative="t">
                      <v:stroke miterlimit="2"/>
                      <v:textbox>
                        <w:txbxContent>
                          <w:p w:rsidR="00C46B20" w:rsidRDefault="00D573F9">
                            <w:r>
                              <w:rPr>
                                <w:rFonts w:hint="eastAsia"/>
                              </w:rPr>
                              <w:t>申请人所在地外汇分局（</w:t>
                            </w:r>
                            <w:r>
                              <w:rPr>
                                <w:rFonts w:hint="eastAsia"/>
                              </w:rPr>
                              <w:t>外汇管理部）根据申请材料和软硬件基础设施情况，</w:t>
                            </w:r>
                            <w:proofErr w:type="gramStart"/>
                            <w:r>
                              <w:rPr>
                                <w:rFonts w:hint="eastAsia"/>
                              </w:rPr>
                              <w:t>作出</w:t>
                            </w:r>
                            <w:proofErr w:type="gramEnd"/>
                            <w:r>
                              <w:rPr>
                                <w:rFonts w:hint="eastAsia"/>
                              </w:rPr>
                              <w:t>初审意见</w:t>
                            </w:r>
                          </w:p>
                        </w:txbxContent>
                      </v:textbox>
                    </v:shape>
                    <v:shape id="Text Box 42" o:spid="_x0000_s1067" type="#_x0000_t202" style="position:absolute;left:5093;top:10960;width:812;height:472" o:preferrelative="t" strokecolor="white">
                      <v:stroke miterlimit="2"/>
                      <v:textbox>
                        <w:txbxContent>
                          <w:p w:rsidR="00C46B20" w:rsidRDefault="00D573F9">
                            <w:r>
                              <w:rPr>
                                <w:rFonts w:hint="eastAsia"/>
                              </w:rPr>
                              <w:t>同意</w:t>
                            </w:r>
                          </w:p>
                        </w:txbxContent>
                      </v:textbox>
                    </v:shape>
                    <v:shape id="Text Box 43" o:spid="_x0000_s1068" type="#_x0000_t202" style="position:absolute;left:8520;top:10848;width:1042;height:584" o:preferrelative="t" strokecolor="white">
                      <v:stroke miterlimit="2"/>
                      <v:textbox>
                        <w:txbxContent>
                          <w:p w:rsidR="00C46B20" w:rsidRDefault="00D573F9">
                            <w:r>
                              <w:rPr>
                                <w:rFonts w:hint="eastAsia"/>
                              </w:rPr>
                              <w:t>不同意</w:t>
                            </w:r>
                          </w:p>
                        </w:txbxContent>
                      </v:textbox>
                    </v:shape>
                    <v:shape id="AutoShape 44" o:spid="_x0000_s1069" type="#_x0000_t32" style="position:absolute;left:9825;top:10105;width:0;height:3027" o:connectortype="straight" o:preferrelative="t">
                      <v:stroke endarrow="block" miterlimit="2"/>
                    </v:shape>
                  </v:group>
                </v:group>
              </v:group>
            </v:group>
          </v:group>
        </w:pict>
      </w:r>
      <w:r>
        <w:rPr>
          <w:rFonts w:ascii="Times New Roman" w:eastAsia="黑体" w:hAnsi="Times New Roman" w:cs="Times New Roman"/>
          <w:sz w:val="30"/>
          <w:szCs w:val="30"/>
        </w:rPr>
        <w:t>基本流程图</w:t>
      </w:r>
    </w:p>
    <w:p w:rsidR="00C46B20" w:rsidRDefault="00C46B20">
      <w:pPr>
        <w:ind w:right="300"/>
        <w:jc w:val="center"/>
        <w:rPr>
          <w:rFonts w:ascii="Times New Roman" w:eastAsia="黑体" w:hAnsi="Times New Roman" w:cs="Times New Roman"/>
          <w:sz w:val="30"/>
          <w:szCs w:val="30"/>
        </w:rPr>
      </w:pPr>
    </w:p>
    <w:p w:rsidR="00C46B20" w:rsidRDefault="00C46B20">
      <w:pPr>
        <w:ind w:right="300"/>
        <w:jc w:val="center"/>
        <w:rPr>
          <w:rFonts w:ascii="Times New Roman" w:eastAsia="黑体" w:hAnsi="Times New Roman" w:cs="Times New Roman"/>
          <w:sz w:val="30"/>
          <w:szCs w:val="30"/>
        </w:rPr>
      </w:pPr>
    </w:p>
    <w:p w:rsidR="00C46B20" w:rsidRDefault="00C46B20">
      <w:pPr>
        <w:ind w:right="300"/>
        <w:jc w:val="center"/>
        <w:rPr>
          <w:rFonts w:ascii="Times New Roman" w:eastAsia="黑体" w:hAnsi="Times New Roman" w:cs="Times New Roman"/>
          <w:sz w:val="30"/>
          <w:szCs w:val="30"/>
        </w:rPr>
      </w:pPr>
    </w:p>
    <w:p w:rsidR="00C46B20" w:rsidRDefault="00C46B20">
      <w:pPr>
        <w:ind w:right="300"/>
        <w:jc w:val="center"/>
        <w:rPr>
          <w:rFonts w:ascii="Times New Roman" w:eastAsia="黑体"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C46B20">
      <w:pPr>
        <w:ind w:right="300"/>
        <w:jc w:val="center"/>
        <w:rPr>
          <w:rFonts w:ascii="Times New Roman" w:eastAsia="仿宋_GB2312" w:hAnsi="Times New Roman" w:cs="Times New Roman"/>
          <w:sz w:val="30"/>
          <w:szCs w:val="30"/>
        </w:rPr>
      </w:pPr>
    </w:p>
    <w:p w:rsidR="00C46B20" w:rsidRDefault="00D573F9">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r>
        <w:rPr>
          <w:rFonts w:ascii="Times New Roman" w:eastAsia="仿宋_GB2312" w:hAnsi="Times New Roman" w:cs="Times New Roman"/>
          <w:sz w:val="30"/>
          <w:szCs w:val="30"/>
        </w:rPr>
        <w:t xml:space="preserve">           </w:t>
      </w:r>
    </w:p>
    <w:p w:rsidR="00C46B20" w:rsidRDefault="00D573F9">
      <w:pPr>
        <w:widowControl/>
        <w:jc w:val="center"/>
        <w:rPr>
          <w:rFonts w:ascii="Times New Roman" w:eastAsia="黑体" w:hAnsi="Times New Roman" w:cs="Times New Roman"/>
          <w:sz w:val="30"/>
          <w:szCs w:val="30"/>
        </w:rPr>
      </w:pPr>
      <w:r>
        <w:rPr>
          <w:rFonts w:ascii="Times New Roman" w:eastAsia="黑体" w:hAnsi="黑体" w:cs="Times New Roman"/>
          <w:sz w:val="30"/>
          <w:szCs w:val="30"/>
        </w:rPr>
        <w:t>常见问题</w:t>
      </w:r>
    </w:p>
    <w:p w:rsidR="00C46B20" w:rsidRDefault="00D573F9">
      <w:pPr>
        <w:widowControl/>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rsidR="00C46B20" w:rsidRDefault="00D573F9">
      <w:pPr>
        <w:widowControl/>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答：国家外汇管理局收到机构完整的申请材料后，委托所在地外汇局对机构相关软硬件设施进行实地检查，在相关要求和设施符合标准后，于</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个工作日内做出结售汇业务资格许可，并核定其结售汇综合头寸。</w:t>
      </w: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rPr>
          <w:rFonts w:ascii="Times New Roman" w:hAnsi="Times New Roman" w:cs="Times New Roman"/>
        </w:rPr>
      </w:pPr>
    </w:p>
    <w:p w:rsidR="00C46B20" w:rsidRDefault="00C46B20">
      <w:pPr>
        <w:adjustRightInd w:val="0"/>
        <w:snapToGrid w:val="0"/>
        <w:spacing w:line="360" w:lineRule="auto"/>
        <w:rPr>
          <w:rFonts w:ascii="Times New Roman" w:hAnsi="Times New Roman" w:cs="Times New Roman"/>
        </w:rPr>
      </w:pPr>
    </w:p>
    <w:sectPr w:rsidR="00C46B20">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F9" w:rsidRDefault="00D573F9">
      <w:r>
        <w:separator/>
      </w:r>
    </w:p>
  </w:endnote>
  <w:endnote w:type="continuationSeparator" w:id="0">
    <w:p w:rsidR="00D573F9" w:rsidRDefault="00D5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20" w:rsidRDefault="00D573F9">
    <w:pPr>
      <w:pStyle w:val="a6"/>
      <w:jc w:val="center"/>
    </w:pPr>
    <w:r>
      <w:fldChar w:fldCharType="begin"/>
    </w:r>
    <w:r>
      <w:instrText xml:space="preserve"> PAGE   \* MERGEFORMAT </w:instrText>
    </w:r>
    <w:r>
      <w:fldChar w:fldCharType="separate"/>
    </w:r>
    <w:r>
      <w:rPr>
        <w:lang w:val="zh-CN"/>
      </w:rPr>
      <w:t>10</w:t>
    </w:r>
    <w:r>
      <w:rPr>
        <w:lang w:val="zh-CN"/>
      </w:rPr>
      <w:fldChar w:fldCharType="end"/>
    </w:r>
  </w:p>
  <w:p w:rsidR="00C46B20" w:rsidRDefault="00C46B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20" w:rsidRDefault="00D573F9">
    <w:pPr>
      <w:pStyle w:val="a6"/>
      <w:jc w:val="center"/>
    </w:pPr>
    <w:r>
      <w:fldChar w:fldCharType="begin"/>
    </w:r>
    <w:r>
      <w:instrText xml:space="preserve"> PAGE   \* MERGEFORMAT </w:instrText>
    </w:r>
    <w:r>
      <w:fldChar w:fldCharType="separate"/>
    </w:r>
    <w:r w:rsidR="002B70D2" w:rsidRPr="002B70D2">
      <w:rPr>
        <w:noProof/>
        <w:lang w:val="zh-CN"/>
      </w:rPr>
      <w:t>7</w:t>
    </w:r>
    <w:r>
      <w:fldChar w:fldCharType="end"/>
    </w:r>
  </w:p>
  <w:p w:rsidR="00C46B20" w:rsidRDefault="00C46B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F9" w:rsidRDefault="00D573F9">
      <w:r>
        <w:separator/>
      </w:r>
    </w:p>
  </w:footnote>
  <w:footnote w:type="continuationSeparator" w:id="0">
    <w:p w:rsidR="00D573F9" w:rsidRDefault="00D57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B70D2"/>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C2EA2"/>
    <w:rsid w:val="00BD233D"/>
    <w:rsid w:val="00BE1A64"/>
    <w:rsid w:val="00BE24C7"/>
    <w:rsid w:val="00BF4EF0"/>
    <w:rsid w:val="00C02E44"/>
    <w:rsid w:val="00C147D2"/>
    <w:rsid w:val="00C2075F"/>
    <w:rsid w:val="00C22FAB"/>
    <w:rsid w:val="00C23799"/>
    <w:rsid w:val="00C274C9"/>
    <w:rsid w:val="00C31E02"/>
    <w:rsid w:val="00C45BC1"/>
    <w:rsid w:val="00C46B20"/>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573F9"/>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30983B49"/>
    <w:rsid w:val="38F46E81"/>
    <w:rsid w:val="527C52E4"/>
    <w:rsid w:val="6F7D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3"/>
        <o:r id="V:Rule2" type="connector" idref="#AutoShape 6"/>
        <o:r id="V:Rule3" type="connector" idref="#AutoShape 5"/>
        <o:r id="V:Rule4" type="connector" idref="#AutoShape 17"/>
        <o:r id="V:Rule5" type="connector" idref="#AutoShape 40"/>
        <o:r id="V:Rule6" type="connector" idref="#AutoShape 15"/>
        <o:r id="V:Rule7" type="connector" idref="#AutoShape 44"/>
        <o:r id="V:Rule8" type="connector" idref="#AutoShape 12"/>
        <o:r id="V:Rule9" type="connector" idref="#AutoShape 14"/>
        <o:r id="V:Rule10" type="connector" idref="#AutoShape 24"/>
        <o:r id="V:Rule11" type="connector" idref="#AutoShape 25"/>
        <o:r id="V:Rule12" type="connector" idref="#AutoShape 30"/>
        <o:r id="V:Rule13" type="connector" idref="#AutoShape 27"/>
        <o:r id="V:Rule14" type="connector" idref="#AutoShape 39"/>
        <o:r id="V:Rule15" type="connector" idref="#AutoShape 20"/>
        <o:r id="V:Rule16" type="connector" idref="#AutoShape 34"/>
        <o:r id="V:Rule17" type="connector" idref="#AutoShape 22"/>
        <o:r id="V:Rule18" type="connector" idref="#AutoShape 31"/>
        <o:r id="V:Rule19" type="connector" idref="#AutoShape 33"/>
      </o:rules>
    </o:shapelayout>
  </w:shapeDefaults>
  <w:decimalSymbol w:val="."/>
  <w:listSeparator w:val=","/>
  <w15:docId w15:val="{A95A2930-E98C-4E94-AF22-80E1BFFE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qFormat/>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编号：57014               _x0001_</dc:title>
  <dc:creator>裴建君2</dc:creator>
  <cp:lastModifiedBy>孟田</cp:lastModifiedBy>
  <cp:revision>1</cp:revision>
  <cp:lastPrinted>2017-12-26T09:10:00Z</cp:lastPrinted>
  <dcterms:created xsi:type="dcterms:W3CDTF">2020-02-26T12:00:00Z</dcterms:created>
  <dcterms:modified xsi:type="dcterms:W3CDTF">2021-02-04T06:17:00Z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