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编号：5701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7-2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_x0000_i1025" o:spt="75" type="#_x0000_t75" style="height:72.25pt;width:80.9pt;" filled="f" o:preferrelative="t" stroked="f" coordsize="21600,21600">
            <v:path/>
            <v:fill on="f" focussize="0,0"/>
            <v:stroke on="f"/>
            <v:imagedata r:id="rId6" blacklevel="0f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</w:t>
      </w:r>
      <w:r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  <w:t xml:space="preserve">      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widowControl w:val="0"/>
        <w:wordWrap/>
        <w:adjustRightInd w:val="0"/>
        <w:snapToGrid w:val="0"/>
        <w:spacing w:line="360" w:lineRule="auto"/>
        <w:jc w:val="center"/>
        <w:textAlignment w:val="auto"/>
        <w:rPr>
          <w:rFonts w:ascii="Times New Roman" w:hAnsi="Times New Roman" w:eastAsia="黑体" w:cs="Times New Roman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“</w:t>
      </w:r>
      <w:r>
        <w:rPr>
          <w:rFonts w:ascii="Times New Roman" w:hAnsi="Times New Roman" w:eastAsia="黑体" w:cs="Times New Roman"/>
          <w:sz w:val="48"/>
          <w:szCs w:val="48"/>
        </w:rPr>
        <w:t>服务贸易外汇收入存放境外</w:t>
      </w:r>
    </w:p>
    <w:p>
      <w:pPr>
        <w:widowControl w:val="0"/>
        <w:wordWrap/>
        <w:adjustRightInd w:val="0"/>
        <w:snapToGrid w:val="0"/>
        <w:spacing w:line="360" w:lineRule="auto"/>
        <w:jc w:val="center"/>
        <w:textAlignment w:val="auto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外汇账户审批</w:t>
      </w:r>
      <w:r>
        <w:rPr>
          <w:rFonts w:hint="eastAsia" w:ascii="黑体" w:hAnsi="黑体" w:eastAsia="黑体" w:cs="黑体"/>
          <w:sz w:val="48"/>
          <w:szCs w:val="48"/>
        </w:rPr>
        <w:t>”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both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hint="eastAsia" w:ascii="Times New Roman" w:hAnsi="Times New Roman" w:eastAsia="仿宋_GB2312" w:cs="Times New Roman"/>
          <w:sz w:val="48"/>
          <w:szCs w:val="48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省分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局</w:t>
      </w:r>
    </w:p>
    <w:p>
      <w:pPr>
        <w:widowControl w:val="0"/>
        <w:wordWrap/>
        <w:adjustRightInd w:val="0"/>
        <w:snapToGrid w:val="0"/>
        <w:spacing w:line="360" w:lineRule="auto"/>
        <w:ind w:firstLine="585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一、</w:t>
      </w:r>
      <w:r>
        <w:rPr>
          <w:rFonts w:ascii="Times New Roman" w:hAnsi="Times New Roman" w:eastAsia="黑体" w:cs="Times New Roman"/>
          <w:sz w:val="30"/>
          <w:szCs w:val="30"/>
        </w:rPr>
        <w:t>办理依据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《中华人民共和国外汇管理条例》（国务院令第532号）；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Cs/>
          <w:sz w:val="30"/>
          <w:szCs w:val="30"/>
          <w:lang w:eastAsia="zh-CN"/>
        </w:rPr>
        <w:t>（二）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国家外汇管理局关于印发〈经常项目外汇业务指引（2020年版）〉的通知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》（汇发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〔2020〕14号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）。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</w:t>
      </w:r>
      <w:r>
        <w:rPr>
          <w:rFonts w:ascii="Times New Roman" w:hAnsi="Times New Roman" w:eastAsia="黑体" w:cs="Times New Roman"/>
          <w:sz w:val="30"/>
          <w:szCs w:val="30"/>
        </w:rPr>
        <w:t>、受理机构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和</w:t>
      </w:r>
      <w:r>
        <w:rPr>
          <w:rFonts w:ascii="Times New Roman" w:hAnsi="Times New Roman" w:eastAsia="黑体" w:cs="Times New Roman"/>
          <w:sz w:val="30"/>
          <w:szCs w:val="30"/>
        </w:rPr>
        <w:t>决定机构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湖南省分局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服务对象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textAlignment w:val="auto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 xml:space="preserve"> 符合条件的境内机构。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审批数量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五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办事条件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申请人为境内机构，需同时符合以下条件：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（二）</w:t>
      </w:r>
      <w:r>
        <w:rPr>
          <w:rFonts w:ascii="Times New Roman" w:hAnsi="Times New Roman" w:eastAsia="仿宋_GB2312" w:cs="Times New Roman"/>
          <w:sz w:val="30"/>
          <w:szCs w:val="30"/>
        </w:rPr>
        <w:t>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六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申请材料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服务贸易外汇收入存放境外外汇账户开立申请材料</w:t>
      </w:r>
    </w:p>
    <w:tbl>
      <w:tblPr>
        <w:tblStyle w:val="14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包括但不限于基本情况、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服务贸易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开展情况、拟开户银行、使用期限、根据实际需要申请的存放境外资金规模等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</w:t>
            </w:r>
          </w:p>
        </w:tc>
      </w:tr>
    </w:tbl>
    <w:p>
      <w:pPr>
        <w:adjustRightInd w:val="0"/>
        <w:snapToGrid w:val="0"/>
        <w:spacing w:beforeLines="50"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（二）</w:t>
      </w:r>
      <w:r>
        <w:rPr>
          <w:rFonts w:ascii="Times New Roman" w:hAnsi="Times New Roman" w:eastAsia="仿宋_GB2312" w:cs="Times New Roman"/>
          <w:sz w:val="30"/>
          <w:szCs w:val="30"/>
        </w:rPr>
        <w:t>服务贸易外汇收入存放境外外汇账户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变更申请材料</w:t>
      </w:r>
    </w:p>
    <w:tbl>
      <w:tblPr>
        <w:tblStyle w:val="14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列明变更事项（开户银行、收支范围、使用期限、需提高存放境外资金规模或境内企业集团调整参与成员公司）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法定代表人或其授权人签字并加盖企业公章，境内企业集团应由主办企业申请变更登记</w:t>
            </w:r>
          </w:p>
        </w:tc>
      </w:tr>
    </w:tbl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eastAsia="黑体" w:cs="Times New Roman"/>
          <w:sz w:val="30"/>
          <w:szCs w:val="30"/>
        </w:rPr>
      </w:pP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七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申请接受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申请人可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向国家外汇管理局湖南省分局经常项目管理处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提交材料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基本办理流程</w:t>
      </w:r>
    </w:p>
    <w:p>
      <w:pPr>
        <w:wordWrap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申请人提交申请；</w:t>
      </w:r>
    </w:p>
    <w:p>
      <w:pPr>
        <w:wordWrap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（二）</w:t>
      </w:r>
      <w:r>
        <w:rPr>
          <w:rFonts w:ascii="Times New Roman" w:hAnsi="Times New Roman" w:eastAsia="仿宋_GB2312" w:cs="Times New Roman"/>
          <w:sz w:val="30"/>
          <w:szCs w:val="30"/>
        </w:rPr>
        <w:t>决定是否予以受理；</w:t>
      </w:r>
    </w:p>
    <w:p>
      <w:pPr>
        <w:wordWrap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（三）</w:t>
      </w:r>
      <w:r>
        <w:rPr>
          <w:rFonts w:ascii="Times New Roman" w:hAnsi="Times New Roman" w:eastAsia="仿宋_GB2312" w:cs="Times New Roman"/>
          <w:sz w:val="30"/>
          <w:szCs w:val="30"/>
        </w:rPr>
        <w:t>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wordWrap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（四）</w:t>
      </w:r>
      <w:r>
        <w:rPr>
          <w:rFonts w:ascii="Times New Roman" w:hAnsi="Times New Roman" w:eastAsia="仿宋_GB2312" w:cs="Times New Roman"/>
          <w:sz w:val="30"/>
          <w:szCs w:val="30"/>
        </w:rPr>
        <w:t>对于符合规定条件，向申请人出具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wordWrap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（五）</w:t>
      </w:r>
      <w:r>
        <w:rPr>
          <w:rFonts w:ascii="Times New Roman" w:hAnsi="Times New Roman" w:eastAsia="仿宋_GB2312" w:cs="Times New Roman"/>
          <w:sz w:val="30"/>
          <w:szCs w:val="30"/>
        </w:rPr>
        <w:t>材料不全或不符合法定形式的，一次性告知补正材料，并出具《行政许可补正通知书》；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办理方式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的行政许可书面决定。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审批时限</w:t>
      </w:r>
    </w:p>
    <w:p>
      <w:pPr>
        <w:wordWrap/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wordWrap/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审批收费依据及标准</w:t>
      </w:r>
    </w:p>
    <w:p>
      <w:pPr>
        <w:wordWrap/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十二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审批结果</w:t>
      </w:r>
    </w:p>
    <w:p>
      <w:pPr>
        <w:wordWrap/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文件。</w:t>
      </w:r>
    </w:p>
    <w:p>
      <w:pPr>
        <w:wordWrap/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十三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结果送达</w:t>
      </w:r>
    </w:p>
    <w:p>
      <w:pPr>
        <w:wordWrap/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wordWrap/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十四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申请人权利和义务</w:t>
      </w:r>
    </w:p>
    <w:p>
      <w:pPr>
        <w:wordWrap/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widowControl/>
        <w:kinsoku w:val="0"/>
        <w:wordWrap/>
        <w:autoSpaceDE w:val="0"/>
        <w:autoSpaceDN w:val="0"/>
        <w:adjustRightInd/>
        <w:snapToGrid/>
        <w:spacing w:line="360" w:lineRule="auto"/>
        <w:ind w:firstLine="600" w:firstLineChars="20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十五、</w:t>
      </w:r>
      <w:r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  <w:t>办理地点、时间及联系方式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办公地址：长沙市芙蓉区蔡锷中路2号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B座902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办公时间：5月1日-9月30日：8:30-12:00；14:00-17:00;其他日期：8:30-12:00；14:30-17:30（法定节假日除外）。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联系电话：0731-84301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393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通讯地址：长沙市芙蓉区蔡锷中路2号中国人民银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行湖南省分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经常项目管理处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bookmarkStart w:id="0" w:name="_GoBack"/>
      <w:bookmarkEnd w:id="0"/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邮政编码：410005。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组合 1025" o:spid="_x0000_s1026" o:spt="203" style="position:absolute;left:0pt;margin-left:-42.35pt;margin-top:35.25pt;height:473.2pt;width:472.7pt;z-index:251659264;mso-width-relative:page;mso-height-relative:page;" coordorigin="825,3393" coordsize="9454,9464">
            <o:lock v:ext="edit" position="f" selection="f" grouping="f" rotation="f" cropping="f" text="f" aspectratio="f"/>
            <v:shape id="直接连接符 1026" o:spid="_x0000_s1027" o:spt="32" type="#_x0000_t32" style="position:absolute;left:2402;top:4552;height:1468;width:17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27" o:spid="_x0000_s1028" o:spt="32" type="#_x0000_t32" style="position:absolute;left:4275;top:5918;height:1;width:564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28" o:spid="_x0000_s1029" o:spt="32" type="#_x0000_t32" style="position:absolute;left:4275;top:6752;height:1;width:564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肘形连接符 1029" o:spid="_x0000_s1030" o:spt="34" type="#_x0000_t34" style="position:absolute;left:8573;top:5455;height:1;width:271;rotation:17694720f;" fillcolor="#FFFFFF" filled="t" o:preferrelative="t" stroked="t" coordsize="21600,21600" adj="1076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0" o:spid="_x0000_s1031" o:spt="32" type="#_x0000_t32" style="position:absolute;left:2417;top:4938;flip:x y;height:72;width:4851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1" o:spid="_x0000_s1032" o:spt="32" type="#_x0000_t32" style="position:absolute;left:5002;top:9276;height:437;width:0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2" o:spid="_x0000_s1033" o:spt="32" type="#_x0000_t32" style="position:absolute;left:4986;top:11195;height:905;width:1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3" o:spid="_x0000_s1034" o:spt="32" type="#_x0000_t32" style="position:absolute;left:2432;top:7405;height:1391;width:0;" fillcolor="#FFFFFF" filled="t" o:preferrelative="t" stroked="t" coordsize="21600,21600">
              <v:path arrowok="t"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</v:shape>
            <v:shape id="直接连接符 1034" o:spid="_x0000_s1035" o:spt="32" type="#_x0000_t32" style="position:absolute;left:2432;top:8792;height:0;width:822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流程图: 决策 1035" o:spid="_x0000_s1036" o:spt="110" type="#_x0000_t110" style="position:absolute;left:825;top:5391;height:2085;width:3157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left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直接连接符 1036" o:spid="_x0000_s1037" o:spt="32" type="#_x0000_t32" style="position:absolute;left:4275;top:5933;height:804;width:0;" fillcolor="#FFFFFF" filled="t" o:preferrelative="t" stroked="t" coordsize="21600,21600">
              <v:path arrowok="t"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</v:shape>
            <v:shape id="直接连接符 1037" o:spid="_x0000_s1038" o:spt="32" type="#_x0000_t32" style="position:absolute;left:3982;top:6416;height:0;width:293;" fillcolor="#FFFFFF" filled="t" o:preferrelative="t" stroked="t" coordsize="21600,21600">
              <v:path arrowok="t"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</v:shape>
            <v:rect id="矩形 1038" o:spid="_x0000_s1039" o:spt="1" style="position:absolute;left:7272;top:4573;height:720;width:2929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流程图: 过程 1039" o:spid="_x0000_s1040" o:spt="109" type="#_x0000_t109" style="position:absolute;left:4839;top:5591;height:587;width:5440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矩形 1040" o:spid="_x0000_s1041" o:spt="1" style="position:absolute;left:4839;top:6592;height:811;width:5440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流程图: 过程 1041" o:spid="_x0000_s1042" o:spt="109" type="#_x0000_t109" style="position:absolute;left:3332;top:8461;height:815;width:3227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流程图: 决策 1042" o:spid="_x0000_s1043" o:spt="110" type="#_x0000_t110" style="position:absolute;left:3456;top:9713;height:1444;width:3064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流程图: 过程 1043" o:spid="_x0000_s1044" o:spt="109" type="#_x0000_t109" style="position:absolute;left:3452;top:12100;height:757;width:2987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流程图: 过程 1044" o:spid="_x0000_s1045" o:spt="109" type="#_x0000_t109" style="position:absolute;left:7786;top:10041;height:766;width:2298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直接连接符 1045" o:spid="_x0000_s1046" o:spt="32" type="#_x0000_t32" style="position:absolute;left:6520;top:10422;flip:y;height:15;width:1266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流程图: 终止 1046" o:spid="_x0000_s1047" o:spt="116" type="#_x0000_t116" style="position:absolute;left:1258;top:3393;height:1172;width:2467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28C7DE"/>
    <w:multiLevelType w:val="singleLevel"/>
    <w:tmpl w:val="6628C7DE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7F8278D"/>
    <w:rsid w:val="48E32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直接连接符 1026"/>
        <o:r id="V:Rule2" type="connector" idref="#直接连接符 1027"/>
        <o:r id="V:Rule3" type="connector" idref="#直接连接符 1028"/>
        <o:r id="V:Rule4" type="connector" idref="#肘形连接符 1029"/>
        <o:r id="V:Rule5" type="connector" idref="#直接连接符 1030"/>
        <o:r id="V:Rule6" type="connector" idref="#直接连接符 1031"/>
        <o:r id="V:Rule7" type="connector" idref="#直接连接符 1032"/>
        <o:r id="V:Rule8" type="connector" idref="#直接连接符 1033"/>
        <o:r id="V:Rule9" type="connector" idref="#直接连接符 1034"/>
        <o:r id="V:Rule10" type="connector" idref="#直接连接符 1036"/>
        <o:r id="V:Rule11" type="connector" idref="#直接连接符 1037"/>
        <o:r id="V:Rule12" type="connector" idref="#直接连接符 104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2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qFormat/>
    <w:uiPriority w:val="1"/>
    <w:pPr>
      <w:ind w:left="1360"/>
    </w:pPr>
    <w:rPr>
      <w:sz w:val="30"/>
      <w:szCs w:val="30"/>
    </w:rPr>
  </w:style>
  <w:style w:type="paragraph" w:styleId="8">
    <w:name w:val="Balloon Text"/>
    <w:basedOn w:val="1"/>
    <w:link w:val="30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6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paragraph" w:styleId="12">
    <w:name w:val="HTML Preformatted"/>
    <w:basedOn w:val="1"/>
    <w:link w:val="3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Hyperlink"/>
    <w:basedOn w:val="15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5"/>
    <w:semiHidden/>
    <w:unhideWhenUsed/>
    <w:qFormat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9">
    <w:name w:val="脚注文本 Char"/>
    <w:basedOn w:val="15"/>
    <w:semiHidden/>
    <w:qFormat/>
    <w:uiPriority w:val="99"/>
    <w:rPr>
      <w:kern w:val="2"/>
      <w:sz w:val="18"/>
      <w:szCs w:val="18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8">
    <w:name w:val="页眉 Char Char"/>
    <w:basedOn w:val="15"/>
    <w:link w:val="10"/>
    <w:qFormat/>
    <w:uiPriority w:val="99"/>
    <w:rPr>
      <w:sz w:val="18"/>
      <w:szCs w:val="18"/>
    </w:rPr>
  </w:style>
  <w:style w:type="character" w:customStyle="1" w:styleId="29">
    <w:name w:val="页脚 Char Char"/>
    <w:basedOn w:val="15"/>
    <w:link w:val="9"/>
    <w:qFormat/>
    <w:uiPriority w:val="99"/>
    <w:rPr>
      <w:sz w:val="18"/>
      <w:szCs w:val="18"/>
    </w:rPr>
  </w:style>
  <w:style w:type="character" w:customStyle="1" w:styleId="30">
    <w:name w:val="批注框文本 Char Char"/>
    <w:basedOn w:val="15"/>
    <w:link w:val="8"/>
    <w:uiPriority w:val="0"/>
    <w:rPr>
      <w:sz w:val="18"/>
      <w:szCs w:val="18"/>
    </w:rPr>
  </w:style>
  <w:style w:type="character" w:customStyle="1" w:styleId="31">
    <w:name w:val="HTML 预设格式 Char Char"/>
    <w:basedOn w:val="15"/>
    <w:link w:val="12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 Char"/>
    <w:basedOn w:val="15"/>
    <w:link w:val="6"/>
    <w:qFormat/>
    <w:uiPriority w:val="0"/>
    <w:rPr>
      <w:rFonts w:ascii="Calibri" w:hAnsi="Calibri" w:eastAsia="宋体" w:cs="Times New Roman"/>
    </w:rPr>
  </w:style>
  <w:style w:type="character" w:customStyle="1" w:styleId="33">
    <w:name w:val="标题 1 Char Char"/>
    <w:basedOn w:val="15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 Char"/>
    <w:basedOn w:val="15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 Char"/>
    <w:basedOn w:val="15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1"/>
    <w:basedOn w:val="15"/>
    <w:link w:val="11"/>
    <w:qFormat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 Char"/>
    <w:basedOn w:val="15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5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5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5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/>
    <customShpInfo spid="_x0000_s1037" textRotate="1"/>
    <customShpInfo spid="_x0000_s1038" textRotate="1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 textRotate="1"/>
    <customShpInfo spid="_x0000_s104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407</Words>
  <Characters>2322</Characters>
  <Lines>19</Lines>
  <Paragraphs>5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2020-02-27T06:09:00Z</dcterms:created>
  <dc:creator>裴建君2</dc:creator>
  <cp:lastModifiedBy>谭薇</cp:lastModifiedBy>
  <cp:lastPrinted>2020-09-08T02:25:00Z</cp:lastPrinted>
  <dcterms:modified xsi:type="dcterms:W3CDTF">2023-09-06T05:16:57Z</dcterms:modified>
  <dc:title>服务贸易外汇收入存放境外外汇账户审批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AF5B5FE7D00649238C05A1E5B7E92AFA</vt:lpwstr>
  </property>
</Properties>
</file>