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编号：57016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-2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72.25pt;width:82pt;" filled="f" o:preferrelative="t" stroked="f" coordsize="21600,21600">
            <v:path/>
            <v:fill on="f" focussize="0,0"/>
            <v:stroke on="f"/>
            <v:imagedata r:id="rId6" blacklevel="0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“</w:t>
      </w:r>
      <w:r>
        <w:rPr>
          <w:rFonts w:hint="eastAsia" w:ascii="黑体" w:hAnsi="黑体" w:eastAsia="黑体" w:cs="黑体"/>
          <w:sz w:val="48"/>
          <w:szCs w:val="48"/>
        </w:rPr>
        <w:t>个人提取外币现钞（单笔或当日提取超过累计等值10000美元现钞）</w:t>
      </w:r>
      <w:r>
        <w:rPr>
          <w:rFonts w:hint="eastAsia" w:ascii="黑体" w:hAnsi="黑体" w:eastAsia="黑体" w:cs="黑体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3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686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bookmarkStart w:id="0" w:name="_GoBack"/>
      <w:bookmarkEnd w:id="0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5" o:spid="_x0000_s1026" o:spt="203" style="position:absolute;left:0pt;margin-left:-21.85pt;margin-top:10.45pt;height:226.15pt;width:453.05pt;z-index:251659264;mso-width-relative:page;mso-height-relative:page;" coordorigin="1363,2897" coordsize="9061,4523">
            <o:lock v:ext="edit" position="f" selection="f" grouping="f" rotation="f" cropping="f" text="f" aspectratio="f"/>
            <v:shape id="流程图: 终止 1026" o:spid="_x0000_s1027" o:spt="116" type="#_x0000_t116" style="position:absolute;left:1943;top:2897;height:1172;width:1724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圆角矩形 1027" o:spid="_x0000_s1028" o:spt="2" style="position:absolute;left:7495;top:3918;height:674;width:2929;" fillcolor="#FFFFFF" filled="t" o:preferrelative="t" stroked="t" coordsize="21600,21600" arcsize="0.166666666666667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圆角矩形 1028" o:spid="_x0000_s1029" o:spt="2" style="position:absolute;left:4839;top:5537;height:871;width:5362;" fillcolor="#FFFFFF" filled="t" o:preferrelative="t" stroked="t" coordsize="21600,21600" arcsize="0.166666666666667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圆角矩形 1029" o:spid="_x0000_s1030" o:spt="2" style="position:absolute;left:4839;top:6684;height:630;width:5362;" fillcolor="#FFFFFF" filled="t" o:preferrelative="t" stroked="t" coordsize="21600,21600" arcsize="0.166666666666667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直接连接符 1030" o:spid="_x0000_s1031" o:spt="32" type="#_x0000_t32" style="position:absolute;left:2835;top:4069;height:1468;width:17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3667;top:6084;height:0;width:117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3667;top:6894;height:0;width:117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8707;top:4642;flip:y;height:89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852;top:4275;flip:x;height:1;width:4643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1035" o:spid="_x0000_s1036" o:spt="110" type="#_x0000_t110" style="position:absolute;left:1363;top:5537;height:1883;width:291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2323254"/>
    <w:rsid w:val="65010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30"/>
        <o:r id="V:Rule2" type="connector" idref="#直接连接符 1031"/>
        <o:r id="V:Rule3" type="connector" idref="#直接连接符 1032"/>
        <o:r id="V:Rule4" type="connector" idref="#直接连接符 1033"/>
        <o:r id="V:Rule5" type="connector" idref="#直接连接符 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脚注文本 Char"/>
    <w:basedOn w:val="1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 Char"/>
    <w:basedOn w:val="14"/>
    <w:link w:val="9"/>
    <w:qFormat/>
    <w:uiPriority w:val="99"/>
    <w:rPr>
      <w:sz w:val="18"/>
      <w:szCs w:val="18"/>
    </w:rPr>
  </w:style>
  <w:style w:type="character" w:customStyle="1" w:styleId="28">
    <w:name w:val="页脚 Char Char"/>
    <w:basedOn w:val="14"/>
    <w:link w:val="8"/>
    <w:qFormat/>
    <w:uiPriority w:val="99"/>
    <w:rPr>
      <w:sz w:val="18"/>
      <w:szCs w:val="18"/>
    </w:rPr>
  </w:style>
  <w:style w:type="character" w:customStyle="1" w:styleId="29">
    <w:name w:val="批注框文本 Char Char"/>
    <w:basedOn w:val="14"/>
    <w:link w:val="7"/>
    <w:qFormat/>
    <w:uiPriority w:val="0"/>
    <w:rPr>
      <w:sz w:val="18"/>
      <w:szCs w:val="18"/>
    </w:rPr>
  </w:style>
  <w:style w:type="character" w:customStyle="1" w:styleId="30">
    <w:name w:val="HTML 预设格式 Char Char"/>
    <w:basedOn w:val="14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4"/>
    <w:link w:val="6"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4"/>
    <w:link w:val="10"/>
    <w:qFormat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4"/>
    <w:link w:val="5"/>
    <w:qFormat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9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谭薇</cp:lastModifiedBy>
  <cp:lastPrinted>2020-09-23T02:38:00Z</cp:lastPrinted>
  <dcterms:modified xsi:type="dcterms:W3CDTF">2023-09-06T05:08:06Z</dcterms:modified>
  <dc:title>编号：57016 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F316E3FC9C55403894A28BD5F7D6AD55</vt:lpwstr>
  </property>
</Properties>
</file>