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编号：5701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7-2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38" o:spt="75" type="#_x0000_t75" style="height:72.25pt;width:80.9pt;" filled="f" o:preferrelative="t" stroked="f" coordsize="21600,21600">
            <v:path/>
            <v:fill on="f" focussize="0,0"/>
            <v:stroke on="f"/>
            <v:imagedata r:id="rId6" blacklevel="0f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widowControl w:val="0"/>
        <w:wordWrap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“</w:t>
      </w:r>
      <w:r>
        <w:rPr>
          <w:rFonts w:ascii="Times New Roman" w:hAnsi="Times New Roman" w:eastAsia="黑体" w:cs="Times New Roman"/>
          <w:sz w:val="48"/>
          <w:szCs w:val="48"/>
        </w:rPr>
        <w:t>服务贸易外汇收入存放境外</w:t>
      </w:r>
    </w:p>
    <w:p>
      <w:pPr>
        <w:widowControl w:val="0"/>
        <w:wordWrap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外汇账户审批</w:t>
      </w:r>
      <w:r>
        <w:rPr>
          <w:rFonts w:hint="eastAsia" w:ascii="黑体" w:hAnsi="黑体" w:eastAsia="黑体" w:cs="黑体"/>
          <w:sz w:val="48"/>
          <w:szCs w:val="48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48"/>
          <w:szCs w:val="48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局</w:t>
      </w:r>
    </w:p>
    <w:p>
      <w:pPr>
        <w:widowControl w:val="0"/>
        <w:wordWrap/>
        <w:adjustRightInd w:val="0"/>
        <w:snapToGrid w:val="0"/>
        <w:spacing w:line="360" w:lineRule="auto"/>
        <w:ind w:firstLine="585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ascii="Times New Roman" w:hAnsi="Times New Roman" w:eastAsia="黑体" w:cs="Times New Roman"/>
          <w:sz w:val="30"/>
          <w:szCs w:val="30"/>
        </w:rPr>
        <w:t>办理依据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《中华人民共和国外汇管理条例》（国务院令第532号）；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符合条件的境内机构。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材料不全或不符合法定形式的，一次性告知补正材料，并出具《行政许可补正通知书》；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通讯地址：长沙市芙蓉区蔡锷中路2号中国人民银行长沙中心支行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5" o:spid="_x0000_s1026" o:spt="203" style="position:absolute;left:0pt;margin-left:-42.35pt;margin-top:35.25pt;height:473.2pt;width:472.7pt;z-index:251659264;mso-width-relative:page;mso-height-relative:page;" coordorigin="825,3393" coordsize="9454,9464">
            <o:lock v:ext="edit" position="f" selection="f" grouping="f" rotation="f" cropping="f" text="f" aspectratio="f"/>
            <v:shape id="直接连接符 1026" o:spid="_x0000_s1027" o:spt="32" type="#_x0000_t32" style="position:absolute;left:2402;top:4552;height:1468;width:17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7" o:spid="_x0000_s1028" o:spt="32" type="#_x0000_t32" style="position:absolute;left:4275;top:5918;height:1;width:564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8" o:spid="_x0000_s1029" o:spt="32" type="#_x0000_t32" style="position:absolute;left:4275;top:6752;height:1;width:564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肘形连接符 1029" o:spid="_x0000_s1030" o:spt="34" type="#_x0000_t34" style="position:absolute;left:8573;top:5455;height:1;width:271;rotation:17694720f;" fillcolor="#FFFFFF" filled="t" o:preferrelative="t" stroked="t" coordsize="21600,21600" adj="1076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0" o:spid="_x0000_s1031" o:spt="32" type="#_x0000_t32" style="position:absolute;left:2417;top:4938;flip:x y;height:72;width:485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1" o:spid="_x0000_s1032" o:spt="32" type="#_x0000_t32" style="position:absolute;left:5002;top:9276;height:437;width:0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2" o:spid="_x0000_s1033" o:spt="32" type="#_x0000_t32" style="position:absolute;left:4986;top:11195;height:90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3" o:spid="_x0000_s1034" o:spt="32" type="#_x0000_t32" style="position:absolute;left:2432;top:7405;height:1391;width:0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4" o:spid="_x0000_s1035" o:spt="32" type="#_x0000_t32" style="position:absolute;left:2432;top:8792;height:0;width:82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决策 1035" o:spid="_x0000_s1036" o:spt="110" type="#_x0000_t110" style="position:absolute;left:825;top:5391;height:2085;width:315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连接符 1036" o:spid="_x0000_s1037" o:spt="32" type="#_x0000_t32" style="position:absolute;left:4275;top:5933;height:804;width:0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7" o:spid="_x0000_s1038" o:spt="32" type="#_x0000_t32" style="position:absolute;left:3982;top:6416;height:0;width:293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rect id="矩形 1038" o:spid="_x0000_s1039" o:spt="1" style="position:absolute;left:7272;top:4573;height:720;width:2929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1039" o:spid="_x0000_s1040" o:spt="109" type="#_x0000_t109" style="position:absolute;left:4839;top:5591;height:587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1040" o:spid="_x0000_s1041" o:spt="1" style="position:absolute;left:4839;top:6592;height:811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041" o:spid="_x0000_s1042" o:spt="109" type="#_x0000_t109" style="position:absolute;left:3332;top:8461;height:815;width:322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42" o:spid="_x0000_s1043" o:spt="110" type="#_x0000_t110" style="position:absolute;left:3456;top:9713;height:1444;width:3064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043" o:spid="_x0000_s1044" o:spt="109" type="#_x0000_t109" style="position:absolute;left:3452;top:12100;height:757;width:298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044" o:spid="_x0000_s1045" o:spt="109" type="#_x0000_t109" style="position:absolute;left:7786;top:10041;height:766;width:2298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连接符 1045" o:spid="_x0000_s1046" o:spt="32" type="#_x0000_t32" style="position:absolute;left:6520;top:10422;flip:y;height:15;width:1266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终止 1046" o:spid="_x0000_s1047" o:spt="116" type="#_x0000_t116" style="position:absolute;left:1258;top:3393;height:1172;width:246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8E3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026"/>
        <o:r id="V:Rule2" type="connector" idref="#直接连接符 1027"/>
        <o:r id="V:Rule3" type="connector" idref="#直接连接符 1028"/>
        <o:r id="V:Rule4" type="connector" idref="#肘形连接符 1029"/>
        <o:r id="V:Rule5" type="connector" idref="#直接连接符 1030"/>
        <o:r id="V:Rule6" type="connector" idref="#直接连接符 1031"/>
        <o:r id="V:Rule7" type="connector" idref="#直接连接符 1032"/>
        <o:r id="V:Rule8" type="connector" idref="#直接连接符 1033"/>
        <o:r id="V:Rule9" type="connector" idref="#直接连接符 1034"/>
        <o:r id="V:Rule10" type="connector" idref="#直接连接符 1036"/>
        <o:r id="V:Rule11" type="connector" idref="#直接连接符 1037"/>
        <o:r id="V:Rule12" type="connector" idref="#直接连接符 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qFormat/>
    <w:uiPriority w:val="1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6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脚注文本 Char"/>
    <w:basedOn w:val="15"/>
    <w:semiHidden/>
    <w:qFormat/>
    <w:uiPriority w:val="99"/>
    <w:rPr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 Char"/>
    <w:basedOn w:val="15"/>
    <w:link w:val="10"/>
    <w:qFormat/>
    <w:uiPriority w:val="99"/>
    <w:rPr>
      <w:sz w:val="18"/>
      <w:szCs w:val="18"/>
    </w:rPr>
  </w:style>
  <w:style w:type="character" w:customStyle="1" w:styleId="29">
    <w:name w:val="页脚 Char Char"/>
    <w:basedOn w:val="15"/>
    <w:link w:val="9"/>
    <w:qFormat/>
    <w:uiPriority w:val="99"/>
    <w:rPr>
      <w:sz w:val="18"/>
      <w:szCs w:val="18"/>
    </w:rPr>
  </w:style>
  <w:style w:type="character" w:customStyle="1" w:styleId="30">
    <w:name w:val="批注框文本 Char Char"/>
    <w:basedOn w:val="15"/>
    <w:link w:val="8"/>
    <w:uiPriority w:val="0"/>
    <w:rPr>
      <w:sz w:val="18"/>
      <w:szCs w:val="18"/>
    </w:rPr>
  </w:style>
  <w:style w:type="character" w:customStyle="1" w:styleId="31">
    <w:name w:val="HTML 预设格式 Char Char"/>
    <w:basedOn w:val="15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 Char"/>
    <w:basedOn w:val="15"/>
    <w:link w:val="6"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 Char"/>
    <w:basedOn w:val="15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 Char"/>
    <w:basedOn w:val="15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1"/>
    <w:basedOn w:val="15"/>
    <w:link w:val="11"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 Char"/>
    <w:basedOn w:val="15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/>
    <customShpInfo spid="_x0000_s1037" textRotate="1"/>
    <customShpInfo spid="_x0000_s1038" textRotate="1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 textRotate="1"/>
    <customShpInfo spid="_x0000_s104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0</cp:lastModifiedBy>
  <cp:lastPrinted>2020-09-08T02:25:00Z</cp:lastPrinted>
  <dcterms:modified xsi:type="dcterms:W3CDTF">2022-05-23T09:21:56Z</dcterms:modified>
  <dc:title>服务贸易外汇收入存放境外外汇账户审批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AF5B5FE7D00649238C05A1E5B7E92AFA</vt:lpwstr>
  </property>
</Properties>
</file>