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编号：57014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_x0000_i1025" o:spt="75" type="#_x0000_t75" style="height:69.75pt;width:87.05pt;" fillcolor="#FFFFFF" filled="f" o:preferrelative="t" stroked="f" coordsize="21600,21600">
            <v:path/>
            <v:fill on="f" color2="#FFFFFF" focussize="0,0"/>
            <v:stroke on="f"/>
            <v:imagedata r:id="rId12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“保险、证券公司等非银行金融机构外汇业务市场准入、退出审批”行政审批服务指南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sz w:val="30"/>
          <w:szCs w:val="30"/>
        </w:rPr>
        <w:t>发布机构：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type w:val="continuous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djustRightInd w:val="0"/>
        <w:spacing w:line="360" w:lineRule="auto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adjustRightInd w:val="0"/>
        <w:spacing w:line="360" w:lineRule="auto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adjustRightIn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办理依据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《中华人民共和国外汇管理条例》（国务院令第532号）；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（二）</w:t>
      </w:r>
      <w:r>
        <w:rPr>
          <w:rFonts w:ascii="Times New Roman" w:hAnsi="Times New Roman" w:eastAsia="仿宋_GB2312" w:cs="Times New Roman"/>
          <w:sz w:val="30"/>
          <w:szCs w:val="30"/>
        </w:rPr>
        <w:t>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国家外汇管理局关于进一步促进保险公司资本金结汇便利化的通知》（汇发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〔2019〕17号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）；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（三）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《国家外汇管理局关于印发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〈经常项目外汇业务指引（2020年版）〉的通知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〔2020〕14号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</w:t>
      </w:r>
      <w:r>
        <w:rPr>
          <w:rFonts w:ascii="Times New Roman" w:hAnsi="Times New Roman" w:eastAsia="黑体" w:cs="Times New Roman"/>
          <w:sz w:val="30"/>
          <w:szCs w:val="30"/>
        </w:rPr>
        <w:t>、受理机构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和</w:t>
      </w:r>
      <w:r>
        <w:rPr>
          <w:rFonts w:ascii="Times New Roman" w:hAnsi="Times New Roman" w:eastAsia="黑体" w:cs="Times New Roman"/>
          <w:sz w:val="30"/>
          <w:szCs w:val="30"/>
        </w:rPr>
        <w:t>决定机构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湖南省分局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服务对象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360" w:lineRule="auto"/>
        <w:textAlignment w:val="auto"/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符合条件的保险机构。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审批数量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五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办事条件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申请人为保险机构，应同时符合以下条件：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ascii="Times New Roman" w:hAnsi="Times New Roman" w:eastAsia="仿宋_GB2312" w:cs="Times New Roman"/>
          <w:sz w:val="30"/>
          <w:szCs w:val="30"/>
        </w:rPr>
        <w:t>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准在境内依法登记注册；</w:t>
      </w:r>
    </w:p>
    <w:p>
      <w:pPr>
        <w:pStyle w:val="20"/>
        <w:widowControl w:val="0"/>
        <w:wordWrap/>
        <w:spacing w:line="360" w:lineRule="auto"/>
        <w:ind w:firstLine="600" w:firstLineChars="200"/>
        <w:textAlignment w:val="auto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hint="eastAsia" w:ascii="Times New Roman" w:hAnsi="Times New Roman" w:cs="Times New Roman"/>
          <w:color w:val="auto"/>
          <w:kern w:val="2"/>
          <w:sz w:val="30"/>
          <w:szCs w:val="30"/>
          <w:lang w:eastAsia="zh-CN"/>
        </w:rPr>
        <w:t>（二）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（三）</w:t>
      </w:r>
      <w:r>
        <w:rPr>
          <w:rFonts w:ascii="Times New Roman" w:hAnsi="Times New Roman" w:eastAsia="仿宋_GB2312" w:cs="Times New Roman"/>
          <w:sz w:val="30"/>
          <w:szCs w:val="30"/>
        </w:rPr>
        <w:t>具有完备的与外汇保险业务相应的内部管理制度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（四）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近三年未发生情节严重的违法违规行为、未受到保险行业主管部门或国家外汇管理局等部门行政处罚。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widowControl w:val="0"/>
        <w:wordWrap/>
        <w:adjustRightIn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六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申请材料</w:t>
      </w:r>
    </w:p>
    <w:p>
      <w:pPr>
        <w:widowControl w:val="0"/>
        <w:wordWrap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新办申请材料清单</w:t>
      </w:r>
    </w:p>
    <w:p>
      <w:pPr>
        <w:widowControl w:val="0"/>
        <w:wordWrap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</w:p>
    <w:tbl>
      <w:tblPr>
        <w:tblStyle w:val="13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418"/>
        <w:gridCol w:w="708"/>
        <w:gridCol w:w="851"/>
        <w:gridCol w:w="1843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列明申请事项及申请业务范围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自由贸易试验区内保险公司免于提供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变更申请材料清单</w:t>
      </w:r>
    </w:p>
    <w:tbl>
      <w:tblPr>
        <w:tblStyle w:val="13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变更机构名称的，提交保险行业主管部门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准其名称变更的文件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、保险行业主管部门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颁发的变更后经营保险业务资格证明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自营业执照变更之日起20个工作日内提交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七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申请接受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申请人可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向国家外汇管理局湖南省分局经常项目管理处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提交材料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基本办理流程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申请人提交申请；</w:t>
      </w:r>
    </w:p>
    <w:p>
      <w:pPr>
        <w:wordWrap/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（二）</w:t>
      </w:r>
      <w:r>
        <w:rPr>
          <w:rFonts w:ascii="Times New Roman" w:hAnsi="Times New Roman" w:eastAsia="仿宋_GB2312" w:cs="Times New Roman"/>
          <w:sz w:val="30"/>
          <w:szCs w:val="30"/>
        </w:rPr>
        <w:t>决定是否予以受理；</w:t>
      </w:r>
    </w:p>
    <w:p>
      <w:pPr>
        <w:wordWrap/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（三）</w:t>
      </w:r>
      <w:r>
        <w:rPr>
          <w:rFonts w:ascii="Times New Roman" w:hAnsi="Times New Roman" w:eastAsia="仿宋_GB2312" w:cs="Times New Roman"/>
          <w:sz w:val="30"/>
          <w:szCs w:val="30"/>
        </w:rPr>
        <w:t>不予受理的，出具不予受理通知书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wordWrap/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（四）</w:t>
      </w:r>
      <w:r>
        <w:rPr>
          <w:rFonts w:ascii="Times New Roman" w:hAnsi="Times New Roman" w:eastAsia="仿宋_GB2312" w:cs="Times New Roman"/>
          <w:sz w:val="30"/>
          <w:szCs w:val="30"/>
        </w:rPr>
        <w:t>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wordWrap/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（五）</w:t>
      </w:r>
      <w:r>
        <w:rPr>
          <w:rFonts w:ascii="Times New Roman" w:hAnsi="Times New Roman" w:eastAsia="仿宋_GB2312" w:cs="Times New Roman"/>
          <w:sz w:val="30"/>
          <w:szCs w:val="30"/>
        </w:rPr>
        <w:t>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办理方式</w:t>
      </w:r>
    </w:p>
    <w:p>
      <w:pPr>
        <w:wordWrap/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审批时限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审批收费依据及标准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十二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审批结果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针对新办、变更申请，出具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十三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结果送达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十四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申请人权利和义务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widowControl/>
        <w:kinsoku w:val="0"/>
        <w:wordWrap/>
        <w:autoSpaceDE w:val="0"/>
        <w:autoSpaceDN w:val="0"/>
        <w:adjustRightInd/>
        <w:snapToGrid/>
        <w:spacing w:line="360" w:lineRule="auto"/>
        <w:ind w:firstLine="600" w:firstLineChars="20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十五、</w:t>
      </w:r>
      <w:r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  <w:t>办理地点、时间及联系方式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办公地址：长沙市芙蓉区蔡锷中路2号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B座902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办公时间：5月1日-9月30日：8:30-12:00；14:00-17:00;其他日期：8:30-12:00；14:30-17:30（法定节假日除外）。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联系电话：0731-84301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393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通讯地址：长沙市芙蓉区蔡锷中路2号中国人民银行长沙中心支行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经常项目管理处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邮政编码：410005。</w:t>
      </w:r>
    </w:p>
    <w:p>
      <w:pPr>
        <w:widowControl/>
        <w:wordWrap/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wordWrap/>
        <w:adjustRightInd w:val="0"/>
        <w:snapToGrid w:val="0"/>
        <w:spacing w:line="360" w:lineRule="auto"/>
        <w:ind w:right="301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adjustRightInd w:val="0"/>
        <w:snapToGrid w:val="0"/>
        <w:ind w:right="301"/>
        <w:jc w:val="center"/>
        <w:rPr>
          <w:rFonts w:ascii="Times New Roman" w:hAnsi="Times New Roman" w:eastAsia="黑体" w:cs="Times New Roman"/>
          <w:sz w:val="30"/>
          <w:szCs w:val="30"/>
        </w:rPr>
        <w:sectPr>
          <w:footerReference r:id="rId9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group id="组合 1025" o:spid="_x0000_s1026" o:spt="203" style="position:absolute;left:0pt;margin-left:-36pt;margin-top:24.6pt;height:505.05pt;width:481.85pt;z-index:251659264;mso-width-relative:page;mso-height-relative:page;" coordorigin="1017,3380" coordsize="9637,10101">
            <o:lock v:ext="edit" position="f" selection="f" grouping="f" rotation="f" cropping="f" text="f" aspectratio="f"/>
            <v:shape id="直接连接符 1026" o:spid="_x0000_s1027" o:spt="32" type="#_x0000_t32" style="position:absolute;left:1819;top:5320;height:0;width:1543;rotation:5898240f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27" o:spid="_x0000_s1028" o:spt="32" type="#_x0000_t32" style="position:absolute;left:4695;top:6557;height:0;width:504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肘形连接符 1028" o:spid="_x0000_s1029" o:spt="34" type="#_x0000_t34" style="position:absolute;left:4680;top:7588;height:1;width:519;" fillcolor="#FFFFFF" filled="t" o:preferrelative="t" stroked="t" coordsize="21600,21600" adj="10779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29" o:spid="_x0000_s1030" o:spt="32" type="#_x0000_t32" style="position:absolute;left:8707;top:5320;flip:y;height:895;width:1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0" o:spid="_x0000_s1031" o:spt="32" type="#_x0000_t32" style="position:absolute;left:2629;top:5005;flip:x;height:1;width:4643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1" o:spid="_x0000_s1032" o:spt="32" type="#_x0000_t32" style="position:absolute;left:5002;top:9900;height:437;width:0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2" o:spid="_x0000_s1033" o:spt="32" type="#_x0000_t32" style="position:absolute;left:4986;top:11819;height:905;width:1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3" o:spid="_x0000_s1034" o:spt="32" type="#_x0000_t32" style="position:absolute;left:2627;top:8029;height:1391;width:0;" fillcolor="#FFFFFF" filled="t" o:preferrelative="t" stroked="t" coordsize="21600,21600">
              <v:path arrowok="t"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</v:shape>
            <v:shape id="直接连接符 1034" o:spid="_x0000_s1035" o:spt="32" type="#_x0000_t32" style="position:absolute;left:2627;top:9435;height:0;width:822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流程图: 决策 1035" o:spid="_x0000_s1036" o:spt="110" type="#_x0000_t110" style="position:absolute;left:1017;top:6095;height:2115;width:3150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直接连接符 1036" o:spid="_x0000_s1037" o:spt="32" type="#_x0000_t32" style="position:absolute;left:4163;top:7073;height:0;width:1025;rotation:5898240f;" fillcolor="#FFFFFF" filled="t" o:preferrelative="t" stroked="t" coordsize="21600,21600">
              <v:path arrowok="t"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</v:shape>
            <v:shape id="直接连接符 1037" o:spid="_x0000_s1038" o:spt="32" type="#_x0000_t32" style="position:absolute;left:4167;top:7156;height:0;width:513;" fillcolor="#FFFFFF" filled="t" o:preferrelative="t" stroked="t" coordsize="21600,21600">
              <v:path arrowok="t"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</v:shape>
            <v:rect id="矩形 1038" o:spid="_x0000_s1039" o:spt="1" style="position:absolute;left:7272;top:4573;height:720;width:2929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  <w:p/>
                </w:txbxContent>
              </v:textbox>
            </v:rect>
            <v:shape id="流程图: 过程 1039" o:spid="_x0000_s1040" o:spt="109" type="#_x0000_t109" style="position:absolute;left:5199;top:6215;height:587;width:5440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矩形 1040" o:spid="_x0000_s1041" o:spt="1" style="position:absolute;left:5214;top:7156;height:811;width:5440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流程图: 过程 1041" o:spid="_x0000_s1042" o:spt="109" type="#_x0000_t109" style="position:absolute;left:3452;top:9085;height:815;width:3227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流程图: 决策 1042" o:spid="_x0000_s1043" o:spt="110" type="#_x0000_t110" style="position:absolute;left:3456;top:10337;height:1444;width:3064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流程图: 过程 1043" o:spid="_x0000_s1044" o:spt="109" type="#_x0000_t109" style="position:absolute;left:3452;top:12724;height:757;width:2987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流程图: 过程 1044" o:spid="_x0000_s1045" o:spt="109" type="#_x0000_t109" style="position:absolute;left:7786;top:10665;height:766;width:2298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直接连接符 1045" o:spid="_x0000_s1046" o:spt="32" type="#_x0000_t32" style="position:absolute;left:6520;top:11046;flip:y;height:15;width:1266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流程图: 终止 1046" o:spid="_x0000_s1047" o:spt="116" type="#_x0000_t116" style="position:absolute;left:1700;top:3380;height:1172;width:2467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  <w:r>
        <w:rPr>
          <w:rFonts w:ascii="Times New Roman" w:hAnsi="Times New Roman" w:eastAsia="黑体" w:cs="Times New Roman"/>
          <w:sz w:val="30"/>
          <w:szCs w:val="30"/>
        </w:rPr>
        <w:t>基本流程</w:t>
      </w:r>
    </w:p>
    <w:p/>
    <w:sectPr>
      <w:footerReference r:id="rId10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28C7DE"/>
    <w:multiLevelType w:val="singleLevel"/>
    <w:tmpl w:val="6628C7DE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24A4C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直接连接符 1026"/>
        <o:r id="V:Rule2" type="connector" idref="#直接连接符 1027"/>
        <o:r id="V:Rule3" type="connector" idref="#肘形连接符 1028"/>
        <o:r id="V:Rule4" type="connector" idref="#直接连接符 1029"/>
        <o:r id="V:Rule5" type="connector" idref="#直接连接符 1030"/>
        <o:r id="V:Rule6" type="connector" idref="#直接连接符 1031"/>
        <o:r id="V:Rule7" type="connector" idref="#直接连接符 1032"/>
        <o:r id="V:Rule8" type="connector" idref="#直接连接符 1033"/>
        <o:r id="V:Rule9" type="connector" idref="#直接连接符 1034"/>
        <o:r id="V:Rule10" type="connector" idref="#直接连接符 1036"/>
        <o:r id="V:Rule11" type="connector" idref="#直接连接符 1037"/>
        <o:r id="V:Rule12" type="connector" idref="#直接连接符 104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7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5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paragraph" w:styleId="11">
    <w:name w:val="HTML Preformatted"/>
    <w:basedOn w:val="1"/>
    <w:link w:val="3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4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semiHidden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8">
    <w:name w:val="脚注文本 Char"/>
    <w:basedOn w:val="14"/>
    <w:semiHidden/>
    <w:qFormat/>
    <w:uiPriority w:val="99"/>
    <w:rPr>
      <w:kern w:val="2"/>
      <w:sz w:val="18"/>
      <w:szCs w:val="18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 Char"/>
    <w:basedOn w:val="14"/>
    <w:link w:val="9"/>
    <w:qFormat/>
    <w:uiPriority w:val="99"/>
    <w:rPr>
      <w:sz w:val="18"/>
      <w:szCs w:val="18"/>
    </w:rPr>
  </w:style>
  <w:style w:type="character" w:customStyle="1" w:styleId="28">
    <w:name w:val="页脚 Char Char"/>
    <w:basedOn w:val="14"/>
    <w:link w:val="8"/>
    <w:qFormat/>
    <w:uiPriority w:val="99"/>
    <w:rPr>
      <w:sz w:val="18"/>
      <w:szCs w:val="18"/>
    </w:rPr>
  </w:style>
  <w:style w:type="character" w:customStyle="1" w:styleId="29">
    <w:name w:val="批注框文本 Char Char"/>
    <w:basedOn w:val="14"/>
    <w:link w:val="7"/>
    <w:qFormat/>
    <w:uiPriority w:val="0"/>
    <w:rPr>
      <w:sz w:val="18"/>
      <w:szCs w:val="18"/>
    </w:rPr>
  </w:style>
  <w:style w:type="character" w:customStyle="1" w:styleId="30">
    <w:name w:val="HTML 预设格式 Char Char"/>
    <w:basedOn w:val="14"/>
    <w:link w:val="11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4"/>
    <w:link w:val="6"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1"/>
    <w:basedOn w:val="14"/>
    <w:link w:val="10"/>
    <w:qFormat/>
    <w:uiPriority w:val="0"/>
    <w:rPr>
      <w:rFonts w:ascii="Times New Roman" w:hAnsi="Times New Roman"/>
      <w:sz w:val="18"/>
      <w:szCs w:val="18"/>
    </w:rPr>
  </w:style>
  <w:style w:type="character" w:customStyle="1" w:styleId="36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7">
    <w:name w:val="文档结构图 Char Char"/>
    <w:basedOn w:val="14"/>
    <w:link w:val="5"/>
    <w:qFormat/>
    <w:uiPriority w:val="0"/>
    <w:rPr>
      <w:rFonts w:ascii="宋体"/>
      <w:sz w:val="18"/>
      <w:szCs w:val="18"/>
    </w:rPr>
  </w:style>
  <w:style w:type="character" w:customStyle="1" w:styleId="38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39">
    <w:name w:val="Intense Emphasis"/>
    <w:basedOn w:val="14"/>
    <w:qFormat/>
    <w:uiPriority w:val="21"/>
    <w:rPr>
      <w:b/>
      <w:bCs/>
      <w:i/>
      <w:iCs/>
      <w:color w:val="4F81BD"/>
    </w:rPr>
  </w:style>
  <w:style w:type="character" w:customStyle="1" w:styleId="40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1">
    <w:name w:val="脚注文本 Char2"/>
    <w:basedOn w:val="1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/>
    <customShpInfo spid="_x0000_s1037" textRotate="1"/>
    <customShpInfo spid="_x0000_s1038" textRotate="1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 textRotate="1"/>
    <customShpInfo spid="_x0000_s104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400</Words>
  <Characters>2283</Characters>
  <Lines>19</Lines>
  <Paragraphs>5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2020-02-26T11:29:00Z</dcterms:created>
  <dc:creator>裴建君2</dc:creator>
  <cp:lastModifiedBy>0</cp:lastModifiedBy>
  <cp:lastPrinted>2017-12-26T09:10:00Z</cp:lastPrinted>
  <dcterms:modified xsi:type="dcterms:W3CDTF">2022-05-23T08:33:15Z</dcterms:modified>
  <dc:title>保险机构外汇业务市场准入审批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B8BACA6C0C5A41CA8BAA46DECF561AD3</vt:lpwstr>
  </property>
</Properties>
</file>