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Default ContentType="image/jpeg" Extension="jpeg"/>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idowControl w:val="0"/>
        <w:wordWrap/>
        <w:adjustRightInd/>
        <w:snapToGrid/>
        <w:spacing w:before="312" w:beforeLines="100" w:after="312" w:afterLines="100" w:line="360" w:lineRule="auto"/>
        <w:ind w:left="0" w:leftChars="0" w:right="0" w:firstLine="0" w:firstLineChars="0"/>
        <w:jc w:val="center"/>
        <w:textAlignment w:val="auto"/>
        <w:outlineLvl w:val="9"/>
        <w:rPr>
          <w:rFonts w:hint="eastAsia" w:ascii="黑体" w:hAnsi="黑体" w:eastAsia="黑体" w:cs="黑体"/>
          <w:sz w:val="32"/>
          <w:szCs w:val="32"/>
        </w:rPr>
      </w:pPr>
      <w:r>
        <w:rPr>
          <w:rFonts w:hint="eastAsia" w:ascii="黑体" w:hAnsi="黑体" w:eastAsia="黑体" w:cs="黑体"/>
          <w:b/>
          <w:sz w:val="32"/>
          <w:szCs w:val="32"/>
        </w:rPr>
        <w:t>国际收支网上申报</w:t>
      </w:r>
      <w:r>
        <w:rPr>
          <w:rFonts w:hint="eastAsia" w:ascii="黑体" w:hAnsi="黑体" w:eastAsia="黑体" w:cs="黑体"/>
          <w:b/>
          <w:sz w:val="32"/>
          <w:szCs w:val="32"/>
          <w:lang w:eastAsia="zh-CN"/>
        </w:rPr>
        <w:t>业务</w:t>
      </w:r>
      <w:r>
        <w:rPr>
          <w:rFonts w:hint="eastAsia" w:ascii="黑体" w:hAnsi="黑体" w:eastAsia="黑体" w:cs="黑体"/>
          <w:b/>
          <w:sz w:val="32"/>
          <w:szCs w:val="32"/>
        </w:rPr>
        <w:t>操作指引</w:t>
      </w:r>
    </w:p>
    <w:p>
      <w:pPr>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国际收支网上申报是国家外汇管理局为实现国际收支平衡管理信息系统的数据采集方功能、促进申报主体自主申报推出的一种国际收支申报形式。申报主体通过国际收支网上申报系统对跨境</w:t>
      </w:r>
      <w:r>
        <w:rPr>
          <w:rFonts w:hint="eastAsia" w:ascii="仿宋_GB2312" w:hAnsi="宋体" w:eastAsia="仿宋_GB2312"/>
          <w:sz w:val="28"/>
          <w:szCs w:val="28"/>
          <w:lang w:eastAsia="zh-CN"/>
        </w:rPr>
        <w:t>收入</w:t>
      </w:r>
      <w:r>
        <w:rPr>
          <w:rFonts w:hint="eastAsia" w:ascii="仿宋_GB2312" w:hAnsi="宋体" w:eastAsia="仿宋_GB2312"/>
          <w:sz w:val="28"/>
          <w:szCs w:val="28"/>
        </w:rPr>
        <w:t>交易进行申报，将原来的纸质申报方式改为电子申报方式，仅需要登录互联网就可以完成国际收支申报。</w:t>
      </w:r>
      <w:r>
        <w:rPr>
          <w:rFonts w:hint="eastAsia" w:ascii="仿宋_GB2312" w:hAnsi="宋体" w:eastAsia="仿宋_GB2312"/>
          <w:sz w:val="28"/>
          <w:szCs w:val="28"/>
        </w:rPr>
        <w:br/>
      </w:r>
      <w:r>
        <w:rPr>
          <w:rFonts w:hint="eastAsia" w:ascii="仿宋_GB2312" w:hAnsi="宋体" w:eastAsia="仿宋_GB2312"/>
          <w:sz w:val="28"/>
          <w:szCs w:val="28"/>
        </w:rPr>
        <w:t xml:space="preserve">    本指引为帮助银行和企业正确进行国际收支网上申报而制定，对开通国际收支网上申报的步骤、网上申报的具体操作方法和注意事项做了详细的说明。</w:t>
      </w:r>
    </w:p>
    <w:p>
      <w:pPr>
        <w:widowControl w:val="0"/>
        <w:wordWrap/>
        <w:adjustRightInd/>
        <w:snapToGrid/>
        <w:spacing w:before="156" w:beforeLines="50" w:after="156" w:afterLines="50" w:line="360" w:lineRule="auto"/>
        <w:ind w:left="0" w:leftChars="0" w:right="0" w:firstLine="0" w:firstLineChars="0"/>
        <w:jc w:val="center"/>
        <w:textAlignment w:val="auto"/>
        <w:outlineLvl w:val="9"/>
        <w:rPr>
          <w:rFonts w:hint="eastAsia" w:ascii="黑体" w:hAnsi="黑体" w:eastAsia="黑体" w:cs="黑体"/>
          <w:b/>
          <w:sz w:val="30"/>
          <w:szCs w:val="30"/>
        </w:rPr>
      </w:pPr>
      <w:r>
        <w:rPr>
          <w:rFonts w:hint="eastAsia" w:ascii="黑体" w:hAnsi="黑体" w:eastAsia="黑体" w:cs="黑体"/>
          <w:b/>
          <w:sz w:val="30"/>
          <w:szCs w:val="30"/>
        </w:rPr>
        <w:t>第一部分 开通国际收支网上申报的步骤</w:t>
      </w:r>
    </w:p>
    <w:p>
      <w:pPr>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企业到开户银行签订开通网上申报协议→开户银行开通企业网上申报→开户银行打印企业管理员代码、密码清单→企业根据申报操作指引进行实际业务操作</w:t>
      </w:r>
    </w:p>
    <w:p>
      <w:pPr>
        <w:widowControl w:val="0"/>
        <w:wordWrap/>
        <w:adjustRightInd/>
        <w:snapToGrid/>
        <w:spacing w:before="156" w:beforeLines="50" w:after="156" w:afterLines="50" w:line="360" w:lineRule="auto"/>
        <w:ind w:left="0" w:leftChars="0" w:right="0" w:firstLine="0" w:firstLineChars="0"/>
        <w:jc w:val="center"/>
        <w:textAlignment w:val="auto"/>
        <w:outlineLvl w:val="9"/>
        <w:rPr>
          <w:rFonts w:hint="eastAsia" w:ascii="黑体" w:hAnsi="黑体" w:eastAsia="黑体" w:cs="黑体"/>
          <w:b/>
          <w:sz w:val="30"/>
          <w:szCs w:val="30"/>
        </w:rPr>
      </w:pPr>
      <w:r>
        <w:rPr>
          <w:rFonts w:hint="eastAsia" w:ascii="黑体" w:hAnsi="黑体" w:eastAsia="黑体" w:cs="黑体"/>
          <w:b/>
          <w:sz w:val="30"/>
          <w:szCs w:val="30"/>
        </w:rPr>
        <w:t>第二部分  银行端为企业开通网上申报功能</w:t>
      </w:r>
    </w:p>
    <w:p>
      <w:pPr>
        <w:widowControl w:val="0"/>
        <w:wordWrap/>
        <w:adjustRightInd/>
        <w:snapToGrid/>
        <w:spacing w:line="360" w:lineRule="auto"/>
        <w:ind w:left="0" w:leftChars="0" w:right="0" w:firstLine="562" w:firstLineChars="20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一、</w:t>
      </w:r>
      <w:r>
        <w:rPr>
          <w:rFonts w:hint="eastAsia" w:ascii="仿宋" w:hAnsi="仿宋" w:eastAsia="仿宋" w:cs="仿宋"/>
          <w:b/>
          <w:bCs/>
          <w:sz w:val="28"/>
          <w:szCs w:val="28"/>
          <w:lang w:eastAsia="zh-CN"/>
        </w:rPr>
        <w:t>客户填写单位基本情况表</w:t>
      </w:r>
    </w:p>
    <w:p>
      <w:pPr>
        <w:widowControl w:val="0"/>
        <w:wordWrap/>
        <w:adjustRightInd/>
        <w:snapToGrid/>
        <w:spacing w:line="360" w:lineRule="auto"/>
        <w:ind w:left="0" w:leftChars="0" w:right="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客户到开户银行填写《单位基本情况表》，填写相关基本信息，其中，申报方式选择“开通网上申报”</w:t>
      </w:r>
      <w:r>
        <w:rPr>
          <w:rFonts w:hint="eastAsia" w:ascii="仿宋" w:hAnsi="仿宋" w:eastAsia="仿宋" w:cs="仿宋"/>
          <w:sz w:val="28"/>
          <w:szCs w:val="28"/>
          <w:lang w:eastAsia="zh-CN"/>
        </w:rPr>
        <w:t>，见下图：</w:t>
      </w:r>
    </w:p>
    <w:p>
      <w:pPr>
        <w:pStyle w:val="5"/>
        <w:spacing w:line="360" w:lineRule="auto"/>
        <w:rPr>
          <w:rFonts w:ascii="仿宋_GB2312" w:eastAsia="仿宋_GB2312"/>
          <w:color w:val="000000"/>
          <w:sz w:val="28"/>
          <w:szCs w:val="28"/>
        </w:rPr>
      </w:pPr>
      <w:r>
        <w:rPr>
          <w:rFonts w:ascii="仿宋_GB2312" w:hAnsi="宋体" w:eastAsia="仿宋_GB2312" w:cs="宋体"/>
          <w:kern w:val="0"/>
          <w:sz w:val="28"/>
          <w:szCs w:val="28"/>
          <w:lang w:val="en-US" w:eastAsia="zh-CN" w:bidi="ar-SA"/>
        </w:rPr>
        <w:pict>
          <v:shape id="Right Arrow 22" o:spid="_x0000_s1026" type="#_x0000_t13" style="position:absolute;left:0;margin-left:-9.75pt;margin-top:329.9pt;height:14.25pt;width:36.75pt;rotation:0f;z-index:251658240;" o:ole="f" fillcolor="#FFFFFF" filled="t" o:preferrelative="t" stroked="t" coordorigin="0,0" coordsize="21600,21600" adj="16200,5400">
            <v:stroke color="#000000" color2="#FFFFFF" miterlimit="2"/>
            <v:imagedata gain="65536f" blacklevel="0f" gamma="0"/>
            <o:lock v:ext="edit" position="f" selection="f" grouping="f" rotation="f" cropping="f" text="f" aspectratio="f"/>
          </v:shape>
        </w:pict>
      </w:r>
      <w:r>
        <w:rPr>
          <w:rFonts w:ascii="仿宋_GB2312" w:hAnsi="宋体" w:eastAsia="仿宋_GB2312" w:cs="宋体"/>
          <w:kern w:val="0"/>
          <w:sz w:val="28"/>
          <w:szCs w:val="28"/>
          <w:lang w:val="en-US" w:eastAsia="zh-CN" w:bidi="ar-SA"/>
        </w:rPr>
        <w:pict>
          <v:shape id="Oval 26" o:spid="_x0000_s1027" type="#_x0000_t3" style="position:absolute;left:0;margin-left:97.5pt;margin-top:410.9pt;height:27.75pt;width:90pt;rotation:0f;z-index:251660288;" o:ole="f" fillcolor="#FFFFFF" filled="t" o:preferrelative="t" stroked="t" coordorigin="0,0" coordsize="21600,21600">
            <v:stroke color="#000000" color2="#FFFFFF" miterlimit="2"/>
            <v:imagedata gain="65536f" blacklevel="0f" gamma="0"/>
            <o:lock v:ext="edit" position="f" selection="f" grouping="f" rotation="f" cropping="f" text="f" aspectratio="f"/>
          </v:shape>
        </w:pict>
      </w:r>
      <w:r>
        <w:rPr>
          <w:rFonts w:hint="eastAsia" w:ascii="仿宋_GB2312" w:hAnsi="宋体" w:eastAsia="仿宋_GB2312" w:cs="宋体"/>
          <w:kern w:val="0"/>
          <w:sz w:val="28"/>
          <w:szCs w:val="28"/>
          <w:lang w:val="en-US" w:eastAsia="zh-CN" w:bidi="ar-SA"/>
        </w:rPr>
        <w:pict>
          <v:shape id="Picture 1" o:spid="_x0000_s1028" type="#_x0000_t75" style="height:525.75pt;width:416.15pt;rotation:0f;" o:ole="f" fillcolor="#FFFFFF" filled="f" o:preferrelative="t" stroked="f" coordorigin="0,0" coordsize="21600,21600">
            <v:fill on="f" color2="#FFFFFF" focus="0%"/>
            <v:imagedata cropleft="1066f" croptop="2374f" cropright="3318f" cropbottom="12733f" gain="65536f" blacklevel="0f" gamma="0" o:title="" r:id="rId11"/>
            <o:lock v:ext="edit" position="f" selection="f" grouping="f" rotation="f" cropping="f" text="f" aspectratio="t"/>
            <w10:wrap type="none"/>
            <w10:anchorlock/>
          </v:shape>
        </w:pict>
      </w:r>
    </w:p>
    <w:p>
      <w:pPr>
        <w:widowControl w:val="0"/>
        <w:wordWrap/>
        <w:adjustRightInd/>
        <w:snapToGrid/>
        <w:spacing w:line="360" w:lineRule="auto"/>
        <w:ind w:left="0" w:leftChars="0" w:right="0" w:firstLine="562" w:firstLineChars="200"/>
        <w:jc w:val="both"/>
        <w:textAlignment w:val="auto"/>
        <w:outlineLvl w:val="9"/>
        <w:rPr>
          <w:rFonts w:hint="eastAsia" w:ascii="仿宋_GB2312" w:eastAsia="仿宋_GB2312"/>
          <w:b/>
          <w:bCs/>
          <w:sz w:val="28"/>
          <w:szCs w:val="28"/>
        </w:rPr>
      </w:pPr>
      <w:r>
        <w:rPr>
          <w:rFonts w:hint="eastAsia" w:ascii="仿宋_GB2312" w:eastAsia="仿宋_GB2312"/>
          <w:b/>
          <w:bCs/>
          <w:sz w:val="28"/>
          <w:szCs w:val="28"/>
        </w:rPr>
        <w:t>二、</w:t>
      </w:r>
      <w:r>
        <w:rPr>
          <w:rFonts w:hint="eastAsia" w:ascii="仿宋_GB2312" w:eastAsia="仿宋_GB2312"/>
          <w:b/>
          <w:bCs/>
          <w:sz w:val="28"/>
          <w:szCs w:val="28"/>
          <w:lang w:eastAsia="zh-CN"/>
        </w:rPr>
        <w:t>银行开通网上申报功能</w:t>
      </w:r>
    </w:p>
    <w:p>
      <w:pPr>
        <w:widowControl w:val="0"/>
        <w:wordWrap/>
        <w:adjustRightInd/>
        <w:snapToGrid/>
        <w:spacing w:line="360" w:lineRule="auto"/>
        <w:ind w:left="0" w:leftChars="0" w:right="0" w:firstLine="560" w:firstLineChars="200"/>
        <w:jc w:val="both"/>
        <w:textAlignment w:val="auto"/>
        <w:outlineLvl w:val="9"/>
        <w:rPr>
          <w:rFonts w:ascii="仿宋_GB2312" w:eastAsia="仿宋_GB2312"/>
          <w:sz w:val="28"/>
          <w:szCs w:val="28"/>
        </w:rPr>
      </w:pPr>
      <w:r>
        <w:rPr>
          <w:rFonts w:hint="eastAsia" w:ascii="仿宋_GB2312" w:eastAsia="仿宋_GB2312"/>
          <w:sz w:val="28"/>
          <w:szCs w:val="28"/>
        </w:rPr>
        <w:t>银行经办人员登陆国家外汇管理局应用服务平台（http://asone.safesvc.gov.cn/asone），国际收支申报---网上申报管理---企业网上申报管理，输入企业组织</w:t>
      </w:r>
      <w:r>
        <w:rPr>
          <w:rFonts w:hint="eastAsia" w:ascii="仿宋_GB2312" w:eastAsia="仿宋_GB2312"/>
          <w:sz w:val="28"/>
          <w:szCs w:val="28"/>
          <w:lang w:eastAsia="zh-CN"/>
        </w:rPr>
        <w:t>机构</w:t>
      </w:r>
      <w:r>
        <w:rPr>
          <w:rFonts w:hint="eastAsia" w:ascii="仿宋_GB2312" w:eastAsia="仿宋_GB2312"/>
          <w:sz w:val="28"/>
          <w:szCs w:val="28"/>
        </w:rPr>
        <w:t xml:space="preserve">代码，点击查询，在“开通/关闭网上申报”栏选择开通，点击“确认”， </w:t>
      </w:r>
      <w:r>
        <w:rPr>
          <w:rFonts w:ascii="仿宋_GB2312" w:hAnsi="Calibri" w:eastAsia="仿宋_GB2312" w:cs="Times New Roman"/>
          <w:kern w:val="2"/>
          <w:sz w:val="28"/>
          <w:szCs w:val="28"/>
          <w:lang w:val="en-US" w:eastAsia="zh-CN" w:bidi="ar-SA"/>
        </w:rPr>
        <w:pict>
          <v:shape id="Oval 24" o:spid="_x0000_s1029" type="#_x0000_t3" style="position:absolute;left:0;margin-left:122.25pt;margin-top:-178.5pt;height:18.95pt;width:73.5pt;rotation:0f;z-index:251659264;" o:ole="f" fillcolor="#FFFFFF" filled="t" o:preferrelative="t" stroked="t" coordorigin="0,0" coordsize="21600,21600">
            <v:stroke color="#000000" color2="#FFFFFF" miterlimit="2"/>
            <v:imagedata gain="65536f" blacklevel="0f" gamma="0"/>
            <o:lock v:ext="edit" position="f" selection="f" grouping="f" rotation="f" cropping="f" text="f" aspectratio="f"/>
          </v:shape>
        </w:pict>
      </w:r>
      <w:r>
        <w:rPr>
          <w:rFonts w:hint="eastAsia" w:ascii="仿宋_GB2312" w:eastAsia="仿宋_GB2312"/>
          <w:sz w:val="28"/>
          <w:szCs w:val="28"/>
        </w:rPr>
        <w:t>点击“打印初始密码”，打印出“国际收支网上申报用户信息”，将打印件交给客户，如下图</w:t>
      </w:r>
      <w:r>
        <w:rPr>
          <w:rFonts w:hint="eastAsia" w:ascii="仿宋_GB2312" w:eastAsia="仿宋_GB2312"/>
          <w:sz w:val="28"/>
          <w:szCs w:val="28"/>
          <w:lang w:eastAsia="zh-CN"/>
        </w:rPr>
        <w:t>：</w:t>
      </w:r>
    </w:p>
    <w:p>
      <w:pPr>
        <w:spacing w:line="360" w:lineRule="auto"/>
        <w:jc w:val="left"/>
        <w:rPr>
          <w:rFonts w:hint="eastAsia" w:ascii="仿宋_GB2312" w:eastAsia="仿宋_GB2312"/>
          <w:sz w:val="28"/>
          <w:szCs w:val="28"/>
        </w:rPr>
      </w:pPr>
      <w:r>
        <w:rPr>
          <w:rFonts w:hint="eastAsia" w:ascii="仿宋_GB2312" w:hAnsi="Calibri" w:eastAsia="仿宋_GB2312" w:cs="Times New Roman"/>
          <w:kern w:val="2"/>
          <w:sz w:val="28"/>
          <w:szCs w:val="28"/>
          <w:lang w:val="en-US" w:eastAsia="zh-CN" w:bidi="ar-SA"/>
        </w:rPr>
        <w:pict>
          <v:shape id="Picture 6" o:spid="_x0000_s1030" type="#_x0000_t75" style="height:271.45pt;width:414.7pt;rotation:0f;" o:ole="f" fillcolor="#FFFFFF" filled="f" o:preferrelative="t" stroked="f" coordorigin="0,0" coordsize="21600,21600">
            <v:fill on="f" color2="#FFFFFF" focus="0%"/>
            <v:imagedata gain="65536f" blacklevel="0f" gamma="0" o:title="图片4" r:id="rId12"/>
            <o:lock v:ext="edit" position="f" selection="f" grouping="f" rotation="f" cropping="f" text="f" aspectratio="t"/>
            <w10:wrap type="none"/>
            <w10:anchorlock/>
          </v:shape>
        </w:pict>
      </w:r>
      <w:r>
        <w:rPr>
          <w:rFonts w:hint="eastAsia" w:ascii="仿宋_GB2312" w:eastAsia="仿宋_GB2312"/>
          <w:sz w:val="28"/>
          <w:szCs w:val="28"/>
        </w:rPr>
        <w:t xml:space="preserve"> </w:t>
      </w:r>
    </w:p>
    <w:p>
      <w:pPr>
        <w:spacing w:line="360" w:lineRule="auto"/>
        <w:jc w:val="left"/>
        <w:rPr>
          <w:rFonts w:hint="eastAsia" w:ascii="仿宋_GB2312" w:eastAsia="仿宋_GB2312"/>
          <w:sz w:val="28"/>
          <w:szCs w:val="28"/>
          <w:lang w:eastAsia="zh-CN"/>
        </w:rPr>
      </w:pPr>
      <w:r>
        <w:rPr>
          <w:rFonts w:hint="eastAsia" w:ascii="仿宋_GB2312" w:hAnsi="Calibri" w:eastAsia="仿宋_GB2312" w:cs="Times New Roman"/>
          <w:kern w:val="2"/>
          <w:sz w:val="28"/>
          <w:szCs w:val="28"/>
          <w:lang w:val="en-US" w:eastAsia="zh-CN" w:bidi="ar-SA"/>
        </w:rPr>
        <w:pict>
          <v:shape id="Picture 7" o:spid="_x0000_s1031" type="#_x0000_t75" style="height:310.1pt;width:415.25pt;rotation:0f;" o:ole="f" fillcolor="#FFFFFF" filled="f" o:preferrelative="t" stroked="f" coordorigin="0,0" coordsize="21600,21600">
            <v:fill on="f" color2="#FFFFFF" focus="0%"/>
            <v:imagedata gain="65536f" blacklevel="0f" gamma="0" o:title="图片1" r:id="rId13"/>
            <o:lock v:ext="edit" position="f" selection="f" grouping="f" rotation="f" cropping="f" text="f" aspectratio="t"/>
            <w10:wrap type="none"/>
            <w10:anchorlock/>
          </v:shape>
        </w:pict>
      </w:r>
    </w:p>
    <w:p>
      <w:pPr>
        <w:spacing w:line="360" w:lineRule="auto"/>
        <w:rPr>
          <w:rFonts w:ascii="仿宋_GB2312" w:eastAsia="仿宋_GB2312"/>
          <w:sz w:val="28"/>
          <w:szCs w:val="28"/>
        </w:rPr>
      </w:pPr>
      <w:r>
        <w:rPr>
          <w:rFonts w:hint="eastAsia" w:ascii="仿宋_GB2312" w:hAnsi="Calibri" w:eastAsia="仿宋_GB2312" w:cs="Times New Roman"/>
          <w:kern w:val="0"/>
          <w:sz w:val="28"/>
          <w:szCs w:val="28"/>
          <w:lang w:val="en-US" w:eastAsia="zh-CN" w:bidi="ar-SA"/>
        </w:rPr>
        <w:pict>
          <v:shape id="Picture 8" o:spid="_x0000_s1032" type="#_x0000_t75" style="height:113.1pt;width:418.4pt;rotation:0f;" o:ole="f" fillcolor="#FFFFFF" filled="f" o:preferrelative="t" stroked="f" coordorigin="0,0" coordsize="21600,21600">
            <v:fill on="f" color2="#FFFFFF" focus="0%"/>
            <v:imagedata cropleft="3555f" croptop="3885f" cropright="7229f" cropbottom="27840f" gain="65536f" blacklevel="0f" gamma="0" o:title="图片2" r:id="rId14"/>
            <o:lock v:ext="edit" position="f" selection="f" grouping="f" rotation="f" cropping="f" text="f" aspectratio="t"/>
            <w10:wrap type="none"/>
            <w10:anchorlock/>
          </v:shape>
        </w:pict>
      </w:r>
    </w:p>
    <w:p>
      <w:pPr>
        <w:spacing w:line="360" w:lineRule="auto"/>
        <w:ind w:firstLine="562" w:firstLineChars="200"/>
        <w:rPr>
          <w:rFonts w:ascii="仿宋_GB2312" w:eastAsia="仿宋_GB2312"/>
          <w:b/>
          <w:bCs/>
          <w:sz w:val="28"/>
          <w:szCs w:val="28"/>
        </w:rPr>
      </w:pPr>
      <w:r>
        <w:rPr>
          <w:rFonts w:hint="eastAsia" w:ascii="仿宋_GB2312" w:eastAsia="仿宋_GB2312"/>
          <w:b/>
          <w:bCs/>
          <w:sz w:val="28"/>
          <w:szCs w:val="28"/>
        </w:rPr>
        <w:t>三、银行应告知客户的几个重要注意事项</w:t>
      </w:r>
    </w:p>
    <w:p>
      <w:pPr>
        <w:spacing w:line="360" w:lineRule="auto"/>
        <w:ind w:firstLine="570"/>
        <w:rPr>
          <w:rFonts w:ascii="仿宋_GB2312" w:eastAsia="仿宋_GB2312"/>
          <w:sz w:val="28"/>
          <w:szCs w:val="28"/>
        </w:rPr>
      </w:pPr>
      <w:r>
        <w:rPr>
          <w:rFonts w:hint="eastAsia" w:ascii="仿宋_GB2312" w:eastAsia="仿宋_GB2312"/>
          <w:sz w:val="28"/>
          <w:szCs w:val="28"/>
        </w:rPr>
        <w:t>1．客户自办理开通国际收支网上申报</w:t>
      </w:r>
      <w:r>
        <w:rPr>
          <w:rFonts w:hint="eastAsia" w:ascii="仿宋_GB2312" w:eastAsia="仿宋_GB2312"/>
          <w:b/>
          <w:bCs/>
          <w:sz w:val="28"/>
          <w:szCs w:val="28"/>
        </w:rPr>
        <w:t>次日起</w:t>
      </w:r>
      <w:r>
        <w:rPr>
          <w:rFonts w:hint="eastAsia" w:ascii="仿宋_GB2312" w:eastAsia="仿宋_GB2312"/>
          <w:sz w:val="28"/>
          <w:szCs w:val="28"/>
        </w:rPr>
        <w:t>发生的业务，才可以通过国际收支网上申报系统进行申报，</w:t>
      </w:r>
      <w:r>
        <w:rPr>
          <w:rFonts w:hint="eastAsia" w:ascii="仿宋_GB2312" w:eastAsia="仿宋_GB2312"/>
          <w:b/>
          <w:bCs/>
          <w:sz w:val="28"/>
          <w:szCs w:val="28"/>
        </w:rPr>
        <w:t>当日</w:t>
      </w:r>
      <w:r>
        <w:rPr>
          <w:rFonts w:hint="eastAsia" w:ascii="仿宋_GB2312" w:eastAsia="仿宋_GB2312"/>
          <w:b/>
          <w:bCs/>
          <w:sz w:val="28"/>
          <w:szCs w:val="28"/>
          <w:lang w:eastAsia="zh-CN"/>
        </w:rPr>
        <w:t>及以前</w:t>
      </w:r>
      <w:r>
        <w:rPr>
          <w:rFonts w:hint="eastAsia" w:ascii="仿宋_GB2312" w:eastAsia="仿宋_GB2312"/>
          <w:sz w:val="28"/>
          <w:szCs w:val="28"/>
        </w:rPr>
        <w:t>发生的业务</w:t>
      </w:r>
      <w:r>
        <w:rPr>
          <w:rFonts w:hint="eastAsia" w:ascii="仿宋_GB2312" w:eastAsia="仿宋_GB2312"/>
          <w:b/>
          <w:bCs/>
          <w:sz w:val="28"/>
          <w:szCs w:val="28"/>
        </w:rPr>
        <w:t>依然使用纸质申报。</w:t>
      </w:r>
    </w:p>
    <w:p>
      <w:pPr>
        <w:spacing w:line="360" w:lineRule="auto"/>
        <w:ind w:firstLine="570"/>
        <w:rPr>
          <w:rFonts w:ascii="仿宋_GB2312" w:eastAsia="仿宋_GB2312"/>
          <w:sz w:val="28"/>
          <w:szCs w:val="28"/>
        </w:rPr>
      </w:pPr>
      <w:r>
        <w:rPr>
          <w:rFonts w:hint="eastAsia" w:ascii="仿宋_GB2312" w:eastAsia="仿宋_GB2312"/>
          <w:sz w:val="28"/>
          <w:szCs w:val="28"/>
        </w:rPr>
        <w:t>2．客户如不再进行国际收支网上申报的，需要到银行办理国际收支网上申报关闭手续。</w:t>
      </w:r>
    </w:p>
    <w:p>
      <w:pPr>
        <w:spacing w:line="360" w:lineRule="auto"/>
        <w:ind w:firstLine="570"/>
        <w:rPr>
          <w:rFonts w:ascii="仿宋_GB2312" w:eastAsia="仿宋_GB2312"/>
          <w:sz w:val="28"/>
          <w:szCs w:val="28"/>
        </w:rPr>
      </w:pPr>
      <w:r>
        <w:rPr>
          <w:rFonts w:hint="eastAsia" w:ascii="仿宋_GB2312" w:eastAsia="仿宋_GB2312"/>
          <w:sz w:val="28"/>
          <w:szCs w:val="28"/>
        </w:rPr>
        <w:t>3．如客户曾经开通国家外汇管理局外汇应用服务平台上的网上业务（如贸易收付汇核查业务），并且修改过登陆密码，则应使用修改过的密码进行登陆。</w:t>
      </w:r>
    </w:p>
    <w:p>
      <w:pPr>
        <w:widowControl w:val="0"/>
        <w:wordWrap w:val="0"/>
        <w:adjustRightInd/>
        <w:snapToGrid/>
        <w:spacing w:line="360" w:lineRule="auto"/>
        <w:ind w:left="0" w:leftChars="0" w:right="0" w:firstLine="570" w:firstLineChars="0"/>
        <w:jc w:val="both"/>
        <w:textAlignment w:val="auto"/>
        <w:outlineLvl w:val="9"/>
        <w:rPr>
          <w:rFonts w:ascii="仿宋_GB2312" w:eastAsia="仿宋_GB2312"/>
          <w:sz w:val="28"/>
          <w:szCs w:val="28"/>
        </w:rPr>
      </w:pPr>
      <w:r>
        <w:rPr>
          <w:rFonts w:hint="eastAsia" w:ascii="仿宋_GB2312" w:eastAsia="仿宋_GB2312"/>
          <w:sz w:val="28"/>
          <w:szCs w:val="28"/>
        </w:rPr>
        <w:t>4．客户后续需根据银行打印的《国际收支网上申报用户信息》登陆国家外汇管理局外汇应用服务平台（http://asone.safesvc.gov.cn/asone），使用用户名称（用户管理员）和用户密码进行用户权限设置，之后再使用设置好的经办用户办理网上国际收支申报业务。</w:t>
      </w:r>
    </w:p>
    <w:p>
      <w:pPr>
        <w:widowControl w:val="0"/>
        <w:wordWrap/>
        <w:adjustRightInd/>
        <w:snapToGrid/>
        <w:spacing w:before="156" w:beforeLines="50" w:after="156" w:afterLines="50" w:line="360" w:lineRule="auto"/>
        <w:ind w:left="0" w:leftChars="0" w:right="0" w:firstLine="0" w:firstLineChars="0"/>
        <w:jc w:val="center"/>
        <w:textAlignment w:val="auto"/>
        <w:outlineLvl w:val="9"/>
        <w:rPr>
          <w:rFonts w:hint="eastAsia" w:ascii="黑体" w:hAnsi="黑体" w:eastAsia="黑体" w:cs="黑体"/>
          <w:b/>
          <w:sz w:val="30"/>
          <w:szCs w:val="30"/>
        </w:rPr>
      </w:pPr>
      <w:r>
        <w:rPr>
          <w:rFonts w:hint="eastAsia" w:ascii="黑体" w:hAnsi="黑体" w:eastAsia="黑体" w:cs="黑体"/>
          <w:b/>
          <w:sz w:val="30"/>
          <w:szCs w:val="30"/>
        </w:rPr>
        <w:t>第三部分  企业客户端操作流程</w:t>
      </w:r>
    </w:p>
    <w:p>
      <w:pPr>
        <w:ind w:firstLine="562" w:firstLineChars="200"/>
        <w:rPr>
          <w:rFonts w:ascii="仿宋_GB2312" w:eastAsia="仿宋_GB2312"/>
          <w:b/>
          <w:bCs/>
          <w:sz w:val="28"/>
          <w:szCs w:val="28"/>
        </w:rPr>
      </w:pPr>
      <w:bookmarkStart w:id="0" w:name="_Toc234647683"/>
      <w:bookmarkStart w:id="1" w:name="_Toc213220618"/>
      <w:bookmarkStart w:id="2" w:name="_Toc211731067"/>
      <w:r>
        <w:rPr>
          <w:rFonts w:hint="eastAsia" w:ascii="仿宋_GB2312" w:eastAsia="仿宋_GB2312"/>
          <w:b/>
          <w:bCs/>
          <w:sz w:val="28"/>
          <w:szCs w:val="28"/>
        </w:rPr>
        <w:t>一、浏览器设置</w:t>
      </w:r>
      <w:bookmarkEnd w:id="0"/>
    </w:p>
    <w:p>
      <w:pPr>
        <w:spacing w:line="360" w:lineRule="auto"/>
        <w:ind w:firstLine="560" w:firstLineChars="200"/>
        <w:rPr>
          <w:rFonts w:ascii="仿宋_GB2312" w:eastAsia="仿宋_GB2312"/>
          <w:sz w:val="28"/>
          <w:szCs w:val="28"/>
        </w:rPr>
      </w:pPr>
      <w:r>
        <w:rPr>
          <w:rFonts w:hint="eastAsia" w:ascii="仿宋_GB2312" w:eastAsia="仿宋_GB2312"/>
          <w:sz w:val="28"/>
          <w:szCs w:val="28"/>
        </w:rPr>
        <w:t>在使用系统之前需要首先在浏览器中进行受信任站点设置。浏览器版本要求IE6.0以上。</w: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打开浏览器，选择菜单“工具”，点击“Internet 选项(O) …”，如</w:t>
      </w:r>
      <w:r>
        <w:rPr>
          <w:rFonts w:hint="eastAsia" w:ascii="仿宋_GB2312" w:eastAsia="仿宋_GB2312"/>
          <w:sz w:val="28"/>
          <w:szCs w:val="28"/>
          <w:lang w:eastAsia="zh-CN"/>
        </w:rPr>
        <w:t>下图：</w:t>
      </w:r>
    </w:p>
    <w:p>
      <w:pPr>
        <w:spacing w:line="360" w:lineRule="auto"/>
        <w:jc w:val="center"/>
        <w:rPr>
          <w:rFonts w:ascii="仿宋_GB2312" w:eastAsia="仿宋_GB2312"/>
          <w:sz w:val="28"/>
          <w:szCs w:val="28"/>
        </w:rPr>
      </w:pPr>
      <w:r>
        <w:rPr>
          <w:rFonts w:hint="eastAsia" w:ascii="仿宋_GB2312" w:hAnsi="Calibri" w:eastAsia="仿宋_GB2312" w:cs="Times New Roman"/>
          <w:kern w:val="2"/>
          <w:sz w:val="28"/>
          <w:szCs w:val="28"/>
          <w:lang w:val="en-US" w:eastAsia="zh-CN" w:bidi="ar-SA"/>
        </w:rPr>
        <w:pict>
          <v:shape id="Picture 9" o:spid="_x0000_s1033" type="#_x0000_t75" style="height:281.9pt;width:416.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spacing w:line="360" w:lineRule="auto"/>
        <w:ind w:firstLine="420" w:firstLineChars="150"/>
        <w:rPr>
          <w:rFonts w:ascii="仿宋_GB2312" w:eastAsia="仿宋_GB2312"/>
          <w:sz w:val="28"/>
          <w:szCs w:val="28"/>
        </w:rPr>
      </w:pPr>
      <w:r>
        <w:rPr>
          <w:rFonts w:hint="eastAsia" w:ascii="仿宋_GB2312" w:eastAsia="仿宋_GB2312"/>
          <w:sz w:val="28"/>
          <w:szCs w:val="28"/>
        </w:rPr>
        <w:t>在“Internet 选项”弹出窗口中，选择“安全”页，单击选中“受信任的站点”，然后点击右下“默认</w:t>
      </w:r>
    </w:p>
    <w:p>
      <w:pPr>
        <w:spacing w:line="360" w:lineRule="auto"/>
        <w:ind w:firstLine="420" w:firstLineChars="150"/>
        <w:rPr>
          <w:rFonts w:ascii="仿宋_GB2312" w:eastAsia="仿宋_GB2312"/>
          <w:sz w:val="28"/>
          <w:szCs w:val="28"/>
        </w:rPr>
      </w:pPr>
      <w:r>
        <w:rPr>
          <w:rFonts w:hint="eastAsia" w:ascii="仿宋_GB2312" w:eastAsia="仿宋_GB2312"/>
          <w:sz w:val="28"/>
          <w:szCs w:val="28"/>
        </w:rPr>
        <w:t xml:space="preserve">级别(D)”按钮，设置受信任站点的安全级别为“低”。 </w:t>
      </w:r>
      <w:r>
        <w:rPr>
          <w:rFonts w:hint="eastAsia" w:ascii="仿宋_GB2312" w:eastAsia="仿宋_GB2312"/>
          <w:sz w:val="28"/>
          <w:szCs w:val="28"/>
          <w:lang w:eastAsia="zh-CN"/>
        </w:rPr>
        <w:t>如下图：</w:t>
      </w:r>
      <w:r>
        <w:rPr>
          <w:rFonts w:hint="eastAsia" w:ascii="仿宋_GB2312" w:eastAsia="仿宋_GB2312"/>
          <w:sz w:val="28"/>
          <w:szCs w:val="28"/>
        </w:rPr>
        <w:t xml:space="preserve">       </w:t>
      </w:r>
      <w:r>
        <w:rPr>
          <w:rFonts w:hint="eastAsia" w:ascii="仿宋_GB2312" w:hAnsi="Calibri" w:eastAsia="仿宋_GB2312" w:cs="Times New Roman"/>
          <w:kern w:val="2"/>
          <w:sz w:val="28"/>
          <w:szCs w:val="28"/>
          <w:lang w:val="en-US" w:eastAsia="zh-CN" w:bidi="ar-SA"/>
        </w:rPr>
        <w:pict>
          <v:shape id="Picture 10" o:spid="_x0000_s1034" type="#_x0000_t75" style="height:249.65pt;width:410.1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widowControl w:val="0"/>
        <w:wordWrap/>
        <w:adjustRightInd/>
        <w:snapToGrid/>
        <w:spacing w:line="360" w:lineRule="auto"/>
        <w:ind w:left="0" w:leftChars="0" w:right="0" w:firstLine="420" w:firstLineChars="150"/>
        <w:jc w:val="both"/>
        <w:textAlignment w:val="auto"/>
        <w:outlineLvl w:val="9"/>
        <w:rPr>
          <w:rFonts w:ascii="仿宋_GB2312" w:eastAsia="仿宋_GB2312"/>
          <w:sz w:val="28"/>
          <w:szCs w:val="28"/>
        </w:rPr>
      </w:pPr>
      <w:r>
        <w:rPr>
          <w:rFonts w:hint="eastAsia" w:ascii="仿宋_GB2312" w:eastAsia="仿宋_GB2312"/>
          <w:sz w:val="28"/>
          <w:szCs w:val="28"/>
        </w:rPr>
        <w:t>点击“站点(S)…”按钮，在可信站点维护窗口中分别添加应用服务平台域名http://asone.safesvc.gov.cn和企业版域名http://bopcom.safesvc.gov.cn。点击确定保存设置并返回“Internet 选项”窗口。</w:t>
      </w:r>
    </w:p>
    <w:p>
      <w:pPr>
        <w:jc w:val="center"/>
        <w:rPr>
          <w:rFonts w:ascii="仿宋_GB2312" w:eastAsia="仿宋_GB2312"/>
          <w:sz w:val="28"/>
          <w:szCs w:val="28"/>
        </w:rPr>
      </w:pPr>
      <w:r>
        <w:rPr>
          <w:rFonts w:hint="eastAsia" w:ascii="仿宋_GB2312" w:hAnsi="Calibri" w:eastAsia="仿宋_GB2312" w:cs="Times New Roman"/>
          <w:kern w:val="2"/>
          <w:sz w:val="28"/>
          <w:szCs w:val="28"/>
          <w:lang w:val="en-US" w:eastAsia="zh-CN" w:bidi="ar-SA"/>
        </w:rPr>
        <w:pict>
          <v:shape id="Picture 11" o:spid="_x0000_s1035" type="#_x0000_t75" style="height:244.95pt;width:404.25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jc w:val="center"/>
        <w:rPr>
          <w:rFonts w:ascii="仿宋_GB2312" w:eastAsia="仿宋_GB2312"/>
          <w:sz w:val="28"/>
          <w:szCs w:val="28"/>
        </w:rPr>
      </w:pPr>
      <w:r>
        <w:rPr>
          <w:rFonts w:hint="eastAsia" w:ascii="仿宋_GB2312" w:hAnsi="Calibri" w:eastAsia="仿宋_GB2312" w:cs="Times New Roman"/>
          <w:kern w:val="2"/>
          <w:sz w:val="28"/>
          <w:szCs w:val="28"/>
          <w:lang w:val="en-US" w:eastAsia="zh-CN" w:bidi="ar-SA"/>
        </w:rPr>
        <w:pict>
          <v:shape id="Picture 12" o:spid="_x0000_s1036" type="#_x0000_t75" style="height:293.35pt;width:415.4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widowControl w:val="0"/>
        <w:wordWrap/>
        <w:adjustRightInd/>
        <w:spacing w:line="360" w:lineRule="auto"/>
        <w:ind w:left="0" w:leftChars="0" w:right="0" w:firstLine="560" w:firstLineChars="200"/>
        <w:jc w:val="both"/>
        <w:textAlignment w:val="auto"/>
        <w:outlineLvl w:val="9"/>
        <w:rPr>
          <w:rFonts w:ascii="仿宋_GB2312" w:eastAsia="仿宋_GB2312"/>
          <w:sz w:val="28"/>
          <w:szCs w:val="28"/>
        </w:rPr>
      </w:pPr>
      <w:r>
        <w:rPr>
          <w:rFonts w:hint="eastAsia" w:ascii="仿宋_GB2312" w:eastAsia="仿宋_GB2312"/>
          <w:sz w:val="28"/>
          <w:szCs w:val="28"/>
        </w:rPr>
        <w:t>最后在“Internet 选项”窗口点击确定按钮保存所有设置。</w:t>
      </w:r>
      <w:bookmarkStart w:id="3" w:name="_Toc209014537"/>
      <w:bookmarkStart w:id="4" w:name="_Toc211308538"/>
      <w:bookmarkStart w:id="5" w:name="_Toc234647684"/>
    </w:p>
    <w:p>
      <w:pPr>
        <w:widowControl w:val="0"/>
        <w:wordWrap/>
        <w:adjustRightInd/>
        <w:snapToGrid/>
        <w:spacing w:line="360" w:lineRule="auto"/>
        <w:ind w:left="0" w:leftChars="0" w:right="0" w:firstLine="562" w:firstLineChars="200"/>
        <w:jc w:val="both"/>
        <w:textAlignment w:val="auto"/>
        <w:outlineLvl w:val="9"/>
        <w:rPr>
          <w:rFonts w:hint="eastAsia" w:ascii="仿宋_GB2312" w:eastAsia="仿宋_GB2312"/>
          <w:b/>
          <w:bCs/>
          <w:sz w:val="28"/>
          <w:szCs w:val="28"/>
        </w:rPr>
      </w:pPr>
      <w:r>
        <w:rPr>
          <w:rFonts w:hint="eastAsia" w:ascii="仿宋_GB2312" w:eastAsia="仿宋_GB2312"/>
          <w:b/>
          <w:bCs/>
          <w:sz w:val="28"/>
          <w:szCs w:val="28"/>
        </w:rPr>
        <w:t>二、业务管理员</w:t>
      </w:r>
      <w:bookmarkEnd w:id="3"/>
      <w:bookmarkEnd w:id="4"/>
      <w:bookmarkEnd w:id="5"/>
      <w:r>
        <w:rPr>
          <w:rFonts w:hint="eastAsia" w:ascii="仿宋_GB2312" w:eastAsia="仿宋_GB2312"/>
          <w:b/>
          <w:bCs/>
          <w:sz w:val="28"/>
          <w:szCs w:val="28"/>
        </w:rPr>
        <w:t>新建企业业务操作员</w:t>
      </w:r>
    </w:p>
    <w:bookmarkEnd w:id="1"/>
    <w:bookmarkEnd w:id="2"/>
    <w:p>
      <w:pPr>
        <w:pStyle w:val="9"/>
        <w:widowControl w:val="0"/>
        <w:wordWrap/>
        <w:adjustRightInd/>
        <w:snapToGrid w:val="0"/>
        <w:spacing w:line="360" w:lineRule="auto"/>
        <w:ind w:left="0" w:leftChars="0" w:right="0" w:firstLine="560" w:firstLineChars="200"/>
        <w:jc w:val="both"/>
        <w:textAlignment w:val="auto"/>
        <w:outlineLvl w:val="9"/>
        <w:rPr>
          <w:rFonts w:ascii="仿宋_GB2312" w:hAnsi="宋体" w:eastAsia="仿宋_GB2312" w:cs="Arial"/>
          <w:sz w:val="28"/>
          <w:szCs w:val="28"/>
        </w:rPr>
      </w:pPr>
      <w:r>
        <w:rPr>
          <w:rFonts w:hint="eastAsia" w:ascii="仿宋_GB2312" w:hAnsi="宋体" w:eastAsia="仿宋_GB2312"/>
          <w:sz w:val="28"/>
          <w:szCs w:val="28"/>
        </w:rPr>
        <w:t>（一）在IE浏览器地址栏中输入</w:t>
      </w:r>
      <w:r>
        <w:rPr>
          <w:rFonts w:ascii="仿宋_GB2312" w:hAnsi="宋体" w:eastAsia="仿宋_GB2312" w:cs="Arial"/>
          <w:sz w:val="28"/>
          <w:szCs w:val="28"/>
        </w:rPr>
        <w:fldChar w:fldCharType="begin"/>
      </w:r>
      <w:r>
        <w:rPr>
          <w:rFonts w:ascii="仿宋_GB2312" w:hAnsi="宋体" w:eastAsia="仿宋_GB2312" w:cs="Arial"/>
          <w:sz w:val="28"/>
          <w:szCs w:val="28"/>
        </w:rPr>
        <w:instrText xml:space="preserve"> HYPERLINK "</w:instrText>
      </w:r>
      <w:r>
        <w:rPr>
          <w:rFonts w:hint="eastAsia" w:ascii="仿宋_GB2312" w:hAnsi="宋体" w:eastAsia="仿宋_GB2312" w:cs="Arial"/>
          <w:sz w:val="28"/>
          <w:szCs w:val="28"/>
        </w:rPr>
        <w:instrText xml:space="preserve">http://asone.safesvc.gov.cn/asone</w:instrText>
      </w:r>
      <w:r>
        <w:rPr>
          <w:rFonts w:ascii="仿宋_GB2312" w:hAnsi="宋体" w:eastAsia="仿宋_GB2312" w:cs="Arial"/>
          <w:sz w:val="28"/>
          <w:szCs w:val="28"/>
        </w:rPr>
        <w:instrText xml:space="preserve">" </w:instrText>
      </w:r>
      <w:r>
        <w:rPr>
          <w:rFonts w:ascii="仿宋_GB2312" w:hAnsi="宋体" w:eastAsia="仿宋_GB2312" w:cs="Arial"/>
          <w:sz w:val="28"/>
          <w:szCs w:val="28"/>
        </w:rPr>
        <w:fldChar w:fldCharType="separate"/>
      </w:r>
      <w:r>
        <w:rPr>
          <w:rStyle w:val="7"/>
          <w:rFonts w:hint="eastAsia" w:ascii="仿宋_GB2312" w:hAnsi="宋体" w:eastAsia="仿宋_GB2312" w:cs="Arial"/>
          <w:sz w:val="28"/>
          <w:szCs w:val="28"/>
        </w:rPr>
        <w:t>http://asone.safesvc.gov.cn/asone</w:t>
      </w:r>
      <w:r>
        <w:rPr>
          <w:rFonts w:ascii="仿宋_GB2312" w:hAnsi="宋体" w:eastAsia="仿宋_GB2312" w:cs="Arial"/>
          <w:sz w:val="28"/>
          <w:szCs w:val="28"/>
        </w:rPr>
        <w:fldChar w:fldCharType="end"/>
      </w:r>
      <w:r>
        <w:rPr>
          <w:rFonts w:hint="eastAsia" w:ascii="仿宋_GB2312" w:hAnsi="宋体" w:eastAsia="仿宋_GB2312" w:cs="Arial"/>
          <w:sz w:val="28"/>
          <w:szCs w:val="28"/>
        </w:rPr>
        <w:t>，然后回车，会出现登录首页。</w:t>
      </w:r>
    </w:p>
    <w:p>
      <w:pPr>
        <w:snapToGrid w:val="0"/>
        <w:spacing w:line="360" w:lineRule="auto"/>
        <w:rPr>
          <w:rFonts w:ascii="仿宋_GB2312" w:hAnsi="宋体" w:eastAsia="仿宋_GB2312" w:cs="Arial"/>
          <w:sz w:val="28"/>
          <w:szCs w:val="28"/>
        </w:rPr>
      </w:pPr>
      <w:r>
        <w:rPr>
          <w:rFonts w:ascii="仿宋_GB2312" w:hAnsi="宋体" w:eastAsia="仿宋_GB2312" w:cs="Arial"/>
          <w:kern w:val="2"/>
          <w:sz w:val="28"/>
          <w:szCs w:val="28"/>
          <w:lang w:val="en-US" w:eastAsia="zh-CN" w:bidi="ar-SA"/>
        </w:rPr>
        <w:pict>
          <v:shape id="Picture 13" o:spid="_x0000_s1037" type="#_x0000_t75" style="height:247.3pt;width:415.3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pStyle w:val="5"/>
        <w:widowControl/>
        <w:wordWrap w:val="0"/>
        <w:adjustRightInd/>
        <w:snapToGrid/>
        <w:spacing w:before="0" w:beforeAutospacing="0" w:after="312" w:afterLines="100" w:afterAutospacing="0" w:line="360" w:lineRule="auto"/>
        <w:ind w:left="0" w:leftChars="0" w:right="0" w:firstLine="560" w:firstLineChars="200"/>
        <w:jc w:val="left"/>
        <w:textAlignment w:val="auto"/>
        <w:outlineLvl w:val="9"/>
        <w:rPr>
          <w:rFonts w:ascii="仿宋_GB2312" w:eastAsia="仿宋_GB2312" w:cs="Arial"/>
          <w:sz w:val="28"/>
          <w:szCs w:val="28"/>
        </w:rPr>
      </w:pPr>
      <w:r>
        <w:rPr>
          <w:rFonts w:hint="eastAsia" w:ascii="仿宋_GB2312" w:hAnsi="Calibri" w:eastAsia="仿宋_GB2312" w:cs="Times New Roman"/>
          <w:kern w:val="2"/>
          <w:sz w:val="28"/>
          <w:szCs w:val="28"/>
          <w:lang w:val="en-US" w:eastAsia="zh-CN" w:bidi="ar-SA"/>
        </w:rPr>
        <w:t>在首页右侧用户登录框中，机构代码处输入企业的组织机构代码、用户代码输入ba,用户密码详见银行为企业打印的“国际收支网上申报用户信息”（见下图）上的密码，然后单击“登录”按钮，登录企业版。</w:t>
      </w:r>
      <w:r>
        <w:rPr>
          <w:rFonts w:ascii="仿宋_GB2312" w:hAnsi="宋体" w:eastAsia="仿宋_GB2312" w:cs="Arial"/>
          <w:kern w:val="0"/>
          <w:sz w:val="28"/>
          <w:szCs w:val="28"/>
          <w:lang w:val="en-US" w:eastAsia="zh-CN" w:bidi="ar-SA"/>
        </w:rPr>
        <w:pict>
          <v:shape id="Picture 14" o:spid="_x0000_s1038" type="#_x0000_t75" style="height:78.3pt;width:415.25pt;rotation:0f;" o:ole="f" fillcolor="#FFFFFF" filled="f" o:preferrelative="t" stroked="f" coordorigin="0,0" coordsize="21600,21600">
            <v:fill on="f" color2="#FFFFFF" focus="0%"/>
            <v:imagedata gain="65536f" blacklevel="0f" gamma="0" o:title="图片5" r:id="rId20"/>
            <o:lock v:ext="edit" position="f" selection="f" grouping="f" rotation="f" cropping="f" text="f" aspectratio="t"/>
            <w10:wrap type="none"/>
            <w10:anchorlock/>
          </v:shape>
        </w:pict>
      </w:r>
    </w:p>
    <w:p>
      <w:pPr>
        <w:pStyle w:val="5"/>
        <w:widowControl/>
        <w:wordWrap w:val="0"/>
        <w:adjustRightInd/>
        <w:snapToGrid/>
        <w:spacing w:before="0" w:beforeAutospacing="0" w:after="312" w:afterLines="100" w:afterAutospacing="0" w:line="360" w:lineRule="auto"/>
        <w:ind w:left="0" w:leftChars="0" w:right="0" w:firstLine="560" w:firstLineChars="200"/>
        <w:jc w:val="left"/>
        <w:textAlignment w:val="auto"/>
        <w:outlineLvl w:val="9"/>
        <w:rPr>
          <w:rFonts w:hint="eastAsia" w:ascii="仿宋_GB2312" w:hAnsi="Calibri" w:eastAsia="仿宋_GB2312" w:cs="Times New Roman"/>
          <w:kern w:val="2"/>
          <w:sz w:val="28"/>
          <w:szCs w:val="28"/>
          <w:lang w:val="en-US" w:eastAsia="zh-CN" w:bidi="ar-SA"/>
        </w:rPr>
      </w:pPr>
      <w:r>
        <w:rPr>
          <w:rFonts w:hint="eastAsia" w:ascii="仿宋_GB2312" w:hAnsi="Calibri" w:eastAsia="仿宋_GB2312" w:cs="Times New Roman"/>
          <w:kern w:val="2"/>
          <w:sz w:val="28"/>
          <w:szCs w:val="28"/>
          <w:lang w:val="en-US" w:eastAsia="zh-CN" w:bidi="ar-SA"/>
        </w:rPr>
        <w:t>（二）使用企业业务管理员用户(ba)登录到企业版后，单击“用户角色管理”-》“业务操作员维护”-》增加，如下图：</w:t>
      </w:r>
    </w:p>
    <w:p>
      <w:pPr>
        <w:snapToGrid w:val="0"/>
        <w:spacing w:line="360" w:lineRule="auto"/>
        <w:rPr>
          <w:rFonts w:ascii="仿宋_GB2312" w:hAnsi="宋体" w:eastAsia="仿宋_GB2312"/>
          <w:sz w:val="28"/>
          <w:szCs w:val="28"/>
        </w:rPr>
      </w:pPr>
      <w:r>
        <w:rPr>
          <w:rFonts w:ascii="仿宋_GB2312" w:hAnsi="宋体" w:eastAsia="仿宋_GB2312" w:cs="Times New Roman"/>
          <w:kern w:val="2"/>
          <w:sz w:val="28"/>
          <w:szCs w:val="28"/>
          <w:lang w:val="en-US" w:eastAsia="zh-CN" w:bidi="ar-SA"/>
        </w:rPr>
        <w:pict>
          <v:shape id="Picture 15" o:spid="_x0000_s1039" type="#_x0000_t75" style="height:152.5pt;width:415.3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pStyle w:val="5"/>
        <w:rPr>
          <w:rFonts w:hint="eastAsia" w:ascii="微软雅黑" w:hAnsi="微软雅黑" w:eastAsia="微软雅黑"/>
          <w:color w:val="000000"/>
          <w:sz w:val="29"/>
          <w:szCs w:val="29"/>
          <w:lang w:eastAsia="zh-CN"/>
        </w:rPr>
      </w:pPr>
      <w:r>
        <w:rPr>
          <w:rFonts w:hint="eastAsia" w:ascii="微软雅黑" w:hAnsi="微软雅黑" w:eastAsia="微软雅黑" w:cs="宋体"/>
          <w:color w:val="000000"/>
          <w:kern w:val="0"/>
          <w:sz w:val="29"/>
          <w:szCs w:val="29"/>
          <w:lang w:val="en-US" w:eastAsia="zh-CN" w:bidi="ar-SA"/>
        </w:rPr>
        <w:pict>
          <v:shape id="Picture 16" o:spid="_x0000_s1040" type="#_x0000_t75" style="height:150pt;width:415.15pt;rotation:0f;" o:ole="f" fillcolor="#FFFFFF" filled="f" o:preferrelative="t" stroked="f" coordorigin="0,0" coordsize="21600,21600">
            <v:fill on="f" color2="#FFFFFF" focus="0%"/>
            <v:imagedata gain="65536f" blacklevel="0f" gamma="0" o:title="图片6" r:id="rId22"/>
            <o:lock v:ext="edit" position="f" selection="f" grouping="f" rotation="f" cropping="f" text="f" aspectratio="t"/>
            <w10:wrap type="none"/>
            <w10:anchorlock/>
          </v:shape>
        </w:pict>
      </w:r>
    </w:p>
    <w:p>
      <w:pPr>
        <w:widowControl w:val="0"/>
        <w:wordWrap/>
        <w:adjustRightInd/>
        <w:spacing w:line="360" w:lineRule="auto"/>
        <w:ind w:left="0" w:leftChars="0" w:right="0" w:firstLine="560" w:firstLineChars="200"/>
        <w:jc w:val="both"/>
        <w:textAlignment w:val="auto"/>
        <w:outlineLvl w:val="9"/>
        <w:rPr>
          <w:rFonts w:hint="eastAsia" w:ascii="仿宋_GB2312" w:eastAsia="仿宋_GB2312"/>
          <w:sz w:val="28"/>
          <w:szCs w:val="28"/>
        </w:rPr>
      </w:pPr>
      <w:r>
        <w:rPr>
          <w:rFonts w:hint="eastAsia" w:ascii="仿宋_GB2312" w:eastAsia="仿宋_GB2312"/>
          <w:sz w:val="28"/>
          <w:szCs w:val="28"/>
        </w:rPr>
        <w:t>在上图业务操作员的增加界面，输入用户代码、用户名称（为企业业务操作员姓名）、联系电话、邮箱地址、初始密码，其中用户代码、用户名称、初始密码为必填项，用户代码不能重复，在角色分配区域，为该业务操作员分配角色，单击保存按钮。如下图：</w:t>
      </w:r>
    </w:p>
    <w:p>
      <w:pPr>
        <w:pStyle w:val="5"/>
        <w:rPr>
          <w:rFonts w:hint="eastAsia" w:ascii="微软雅黑" w:hAnsi="微软雅黑" w:eastAsia="微软雅黑"/>
          <w:color w:val="000000"/>
          <w:lang w:eastAsia="zh-CN"/>
        </w:rPr>
      </w:pPr>
      <w:r>
        <w:rPr>
          <w:rFonts w:hint="eastAsia" w:ascii="微软雅黑" w:hAnsi="微软雅黑" w:eastAsia="微软雅黑" w:cs="宋体"/>
          <w:color w:val="000000"/>
          <w:kern w:val="0"/>
          <w:sz w:val="24"/>
          <w:szCs w:val="24"/>
          <w:lang w:val="en-US" w:eastAsia="zh-CN" w:bidi="ar-SA"/>
        </w:rPr>
        <w:pict>
          <v:shape id="Picture 17" o:spid="_x0000_s1041" type="#_x0000_t75" style="height:180.9pt;width:415.05pt;rotation:0f;" o:ole="f" fillcolor="#FFFFFF" filled="f" o:preferrelative="t" stroked="f" coordorigin="0,0" coordsize="21600,21600">
            <v:fill on="f" color2="#FFFFFF" focus="0%"/>
            <v:imagedata gain="65536f" blacklevel="0f" gamma="0" o:title="图片7" r:id="rId23"/>
            <o:lock v:ext="edit" position="f" selection="f" grouping="f" rotation="f" cropping="f" text="f" aspectratio="t"/>
            <w10:wrap type="none"/>
            <w10:anchorlock/>
          </v:shape>
        </w:pict>
      </w:r>
    </w:p>
    <w:p>
      <w:pPr>
        <w:widowControl w:val="0"/>
        <w:wordWrap/>
        <w:adjustRightInd/>
        <w:snapToGrid/>
        <w:spacing w:line="360" w:lineRule="auto"/>
        <w:ind w:left="0" w:leftChars="0" w:right="0" w:firstLine="562" w:firstLineChars="20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三、注意事项</w:t>
      </w:r>
    </w:p>
    <w:p>
      <w:pPr>
        <w:widowControl w:val="0"/>
        <w:wordWrap/>
        <w:adjustRightInd/>
        <w:snapToGrid/>
        <w:spacing w:line="360" w:lineRule="auto"/>
        <w:ind w:left="0" w:leftChars="0" w:right="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1．用户代码对应首页登录框中的用户代码，并且</w:t>
      </w:r>
      <w:r>
        <w:rPr>
          <w:rFonts w:hint="eastAsia" w:ascii="仿宋" w:hAnsi="仿宋" w:eastAsia="仿宋" w:cs="仿宋"/>
          <w:b/>
          <w:bCs/>
          <w:sz w:val="28"/>
          <w:szCs w:val="28"/>
        </w:rPr>
        <w:t>一定要为该用户分配角色，</w:t>
      </w:r>
      <w:r>
        <w:rPr>
          <w:rFonts w:hint="eastAsia" w:ascii="仿宋" w:hAnsi="仿宋" w:eastAsia="仿宋" w:cs="仿宋"/>
          <w:sz w:val="28"/>
          <w:szCs w:val="28"/>
        </w:rPr>
        <w:t>否则新建用户登录系统后没有可以访问的资源。</w:t>
      </w:r>
    </w:p>
    <w:p>
      <w:pPr>
        <w:widowControl w:val="0"/>
        <w:wordWrap/>
        <w:adjustRightInd/>
        <w:snapToGrid/>
        <w:spacing w:line="360" w:lineRule="auto"/>
        <w:ind w:left="0" w:leftChars="0" w:right="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2．企业的业务管理员和业务管理员创建的业务操作员可以登录系统，用户密码要妥善保管，以防被人盗用。</w:t>
      </w:r>
    </w:p>
    <w:p>
      <w:pPr>
        <w:widowControl w:val="0"/>
        <w:wordWrap/>
        <w:adjustRightInd/>
        <w:snapToGrid/>
        <w:spacing w:line="360" w:lineRule="auto"/>
        <w:ind w:left="0" w:leftChars="0" w:right="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3．</w:t>
      </w:r>
      <w:r>
        <w:rPr>
          <w:rFonts w:hint="eastAsia" w:ascii="仿宋" w:hAnsi="仿宋" w:eastAsia="仿宋" w:cs="仿宋"/>
          <w:b/>
          <w:bCs/>
          <w:sz w:val="28"/>
          <w:szCs w:val="28"/>
        </w:rPr>
        <w:t>日常应使用业务操作员用户登录系统办理网上国际收支申报，</w:t>
      </w:r>
      <w:r>
        <w:rPr>
          <w:rFonts w:hint="eastAsia" w:ascii="仿宋" w:hAnsi="仿宋" w:eastAsia="仿宋" w:cs="仿宋"/>
          <w:sz w:val="28"/>
          <w:szCs w:val="28"/>
        </w:rPr>
        <w:t>ba为用户管理员，是用于设置和管理业务操作员权限的。</w:t>
      </w:r>
    </w:p>
    <w:p>
      <w:pPr>
        <w:widowControl w:val="0"/>
        <w:wordWrap/>
        <w:adjustRightInd/>
        <w:snapToGrid/>
        <w:spacing w:line="360" w:lineRule="auto"/>
        <w:ind w:left="0" w:leftChars="0" w:right="0" w:firstLine="562" w:firstLineChars="200"/>
        <w:jc w:val="both"/>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四、业务操作员用户登陆系统进行申报</w:t>
      </w:r>
    </w:p>
    <w:p>
      <w:pPr>
        <w:widowControl w:val="0"/>
        <w:wordWrap/>
        <w:adjustRightInd/>
        <w:snapToGrid/>
        <w:spacing w:line="360" w:lineRule="auto"/>
        <w:ind w:left="0" w:leftChars="0" w:right="0" w:firstLine="560" w:firstLineChars="20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（一）业务操作员在首页右侧用户登录框中，机构代码处输入企业的组织机构代码、用户代码输入已设置的用户代码 ，首次登陆时用户密码处输入已设置的初始密码,登陆后会提示修改初始密码。</w:t>
      </w:r>
    </w:p>
    <w:p>
      <w:pPr>
        <w:snapToGrid w:val="0"/>
        <w:spacing w:line="360" w:lineRule="auto"/>
        <w:ind w:firstLine="562" w:firstLineChars="200"/>
        <w:rPr>
          <w:rFonts w:ascii="仿宋_GB2312" w:hAnsi="宋体" w:eastAsia="仿宋_GB2312"/>
          <w:b/>
          <w:sz w:val="28"/>
          <w:szCs w:val="28"/>
        </w:rPr>
      </w:pPr>
      <w:r>
        <w:rPr>
          <w:rFonts w:ascii="仿宋_GB2312" w:hAnsi="宋体" w:eastAsia="仿宋_GB2312" w:cs="Times New Roman"/>
          <w:b/>
          <w:kern w:val="2"/>
          <w:sz w:val="28"/>
          <w:szCs w:val="28"/>
          <w:lang w:val="en-US" w:eastAsia="zh-CN" w:bidi="ar-SA"/>
        </w:rPr>
        <w:pict>
          <v:shape id="Picture 18" o:spid="_x0000_s1042" type="#_x0000_t75" style="height:247.3pt;width:415.3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snapToGrid w:val="0"/>
        <w:spacing w:line="360" w:lineRule="auto"/>
        <w:ind w:firstLine="560" w:firstLineChars="200"/>
        <w:rPr>
          <w:rFonts w:ascii="仿宋_GB2312" w:hAnsi="宋体" w:eastAsia="仿宋_GB2312"/>
          <w:sz w:val="28"/>
          <w:szCs w:val="28"/>
        </w:rPr>
      </w:pPr>
      <w:r>
        <w:rPr>
          <w:rFonts w:hint="eastAsia" w:ascii="仿宋_GB2312" w:hAnsi="宋体" w:eastAsia="仿宋_GB2312"/>
          <w:sz w:val="28"/>
          <w:szCs w:val="28"/>
        </w:rPr>
        <w:t>（二）业务操作员登陆后，在“申报单管理”模块进行申报单的申报工作。</w:t>
      </w:r>
    </w:p>
    <w:p>
      <w:pPr>
        <w:snapToGrid w:val="0"/>
        <w:spacing w:line="360" w:lineRule="auto"/>
        <w:ind w:firstLine="560" w:firstLineChars="200"/>
        <w:rPr>
          <w:rFonts w:ascii="仿宋_GB2312" w:hAnsi="宋体" w:eastAsia="仿宋_GB2312"/>
          <w:sz w:val="28"/>
          <w:szCs w:val="28"/>
        </w:rPr>
      </w:pPr>
      <w:r>
        <w:rPr>
          <w:rFonts w:ascii="仿宋_GB2312" w:hAnsi="宋体" w:eastAsia="仿宋_GB2312" w:cs="Times New Roman"/>
          <w:kern w:val="2"/>
          <w:sz w:val="28"/>
          <w:szCs w:val="28"/>
          <w:lang w:val="en-US" w:eastAsia="zh-CN" w:bidi="ar-SA"/>
        </w:rPr>
        <w:pict>
          <v:shape id="Picture 19" o:spid="_x0000_s1043" type="#_x0000_t75" style="height:182.3pt;width:415.3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1、操作步骤</w: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打开申报单管理-&gt;涉外收入申报单-&gt;申报信息录入。系统会自动显示待申报的信息列表页面，如图：</w:t>
      </w:r>
    </w:p>
    <w:p>
      <w:pPr>
        <w:spacing w:line="360" w:lineRule="auto"/>
        <w:rPr>
          <w:rFonts w:ascii="仿宋_GB2312" w:hAnsi="宋体" w:eastAsia="仿宋_GB2312"/>
          <w:sz w:val="28"/>
          <w:szCs w:val="28"/>
        </w:rPr>
      </w:pPr>
      <w:r>
        <w:rPr>
          <w:rFonts w:ascii="仿宋_GB2312" w:hAnsi="Calibri" w:eastAsia="仿宋_GB2312" w:cs="Times New Roman"/>
          <w:kern w:val="2"/>
          <w:sz w:val="28"/>
          <w:szCs w:val="28"/>
          <w:lang w:val="en-US" w:eastAsia="zh-CN" w:bidi="ar-SA"/>
        </w:rPr>
        <w:pict>
          <v:shape id="Picture 20" o:spid="_x0000_s1044" type="#_x0000_t75" style="height:274.1pt;width:415.3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p>
    <w:p>
      <w:pPr>
        <w:spacing w:line="360" w:lineRule="auto"/>
        <w:rPr>
          <w:rFonts w:ascii="仿宋_GB2312" w:hAnsi="宋体" w:eastAsia="仿宋_GB2312"/>
          <w:sz w:val="28"/>
          <w:szCs w:val="28"/>
        </w:rPr>
      </w:pPr>
    </w:p>
    <w:p>
      <w:pPr>
        <w:spacing w:line="360" w:lineRule="auto"/>
        <w:rPr>
          <w:rFonts w:hint="eastAsia" w:ascii="仿宋_GB2312" w:hAnsi="宋体" w:eastAsia="仿宋_GB2312"/>
          <w:sz w:val="28"/>
          <w:szCs w:val="28"/>
          <w:lang w:eastAsia="zh-CN"/>
        </w:rPr>
      </w:pPr>
      <w:r>
        <w:rPr>
          <w:rFonts w:hint="eastAsia" w:ascii="仿宋_GB2312" w:hAnsi="宋体" w:eastAsia="仿宋_GB2312" w:cs="Times New Roman"/>
          <w:kern w:val="2"/>
          <w:sz w:val="28"/>
          <w:szCs w:val="28"/>
          <w:lang w:val="en-US" w:eastAsia="zh-CN" w:bidi="ar-SA"/>
        </w:rPr>
        <w:pict>
          <v:shape id="Picture 21" o:spid="_x0000_s1045" type="#_x0000_t75" style="height:112.05pt;width:414.45pt;rotation:0f;" o:ole="f" fillcolor="#FFFFFF" filled="f" o:preferrelative="t" stroked="f" coordorigin="0,0" coordsize="21600,21600">
            <v:fill on="f" color2="#FFFFFF" focus="0%"/>
            <v:imagedata gain="65536f" blacklevel="0f" gamma="0" o:title="图片2" r:id="rId14"/>
            <o:lock v:ext="edit" position="f" selection="f" grouping="f" rotation="f" cropping="f" text="f" aspectratio="t"/>
            <w10:wrap type="none"/>
            <w10:anchorlock/>
          </v:shape>
        </w:pic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在查询结果列表中点击相关的申报号码，进入申报单录入页面。页面显示该申报单的基础信息，如图：</w:t>
      </w:r>
    </w:p>
    <w:p>
      <w:pPr>
        <w:spacing w:line="360" w:lineRule="auto"/>
        <w:rPr>
          <w:rFonts w:hint="eastAsia" w:ascii="仿宋_GB2312" w:eastAsia="仿宋_GB2312"/>
          <w:sz w:val="28"/>
          <w:szCs w:val="28"/>
          <w:lang w:eastAsia="zh-CN"/>
        </w:rPr>
      </w:pPr>
      <w:r>
        <w:rPr>
          <w:rFonts w:hint="eastAsia" w:ascii="仿宋_GB2312" w:hAnsi="Calibri" w:eastAsia="仿宋_GB2312" w:cs="Times New Roman"/>
          <w:kern w:val="2"/>
          <w:sz w:val="28"/>
          <w:szCs w:val="28"/>
          <w:lang w:val="en-US" w:eastAsia="zh-CN" w:bidi="ar-SA"/>
        </w:rPr>
        <w:pict>
          <v:shape id="Picture 22" o:spid="_x0000_s1046" type="#_x0000_t75" style="height:203.1pt;width:414.6pt;rotation:0f;" o:ole="f" fillcolor="#FFFFFF" filled="f" o:preferrelative="t" stroked="f" coordorigin="0,0" coordsize="21600,21600">
            <v:fill on="f" color2="#FFFFFF" focus="0%"/>
            <v:imagedata gain="65536f" blacklevel="0f" gamma="0" o:title="图片2" r:id="rId26"/>
            <o:lock v:ext="edit" position="f" selection="f" grouping="f" rotation="f" cropping="f" text="f" aspectratio="t"/>
            <w10:wrap type="none"/>
            <w10:anchorlock/>
          </v:shape>
        </w:pict>
      </w:r>
    </w:p>
    <w:p>
      <w:pPr>
        <w:spacing w:line="360" w:lineRule="auto"/>
        <w:ind w:firstLine="560" w:firstLineChars="200"/>
        <w:rPr>
          <w:rFonts w:ascii="仿宋_GB2312" w:eastAsia="仿宋_GB2312"/>
          <w:sz w:val="28"/>
          <w:szCs w:val="28"/>
        </w:rPr>
      </w:pPr>
      <w:r>
        <w:rPr>
          <w:rFonts w:hint="eastAsia" w:ascii="仿宋_GB2312" w:eastAsia="仿宋_GB2312"/>
          <w:sz w:val="28"/>
          <w:szCs w:val="28"/>
        </w:rPr>
        <w:t>录入申报信息，点击“保存”按钮。</w:t>
      </w:r>
    </w:p>
    <w:p>
      <w:pPr>
        <w:spacing w:line="360" w:lineRule="auto"/>
        <w:ind w:firstLine="562" w:firstLineChars="200"/>
        <w:rPr>
          <w:rFonts w:ascii="仿宋_GB2312" w:eastAsia="仿宋_GB2312"/>
          <w:b/>
          <w:sz w:val="28"/>
          <w:szCs w:val="28"/>
        </w:rPr>
      </w:pPr>
      <w:r>
        <w:rPr>
          <w:rFonts w:hint="eastAsia" w:ascii="仿宋_GB2312" w:eastAsia="仿宋_GB2312"/>
          <w:b/>
          <w:sz w:val="28"/>
          <w:szCs w:val="28"/>
        </w:rPr>
        <w:t xml:space="preserve">注意事项： </w:t>
      </w:r>
    </w:p>
    <w:p>
      <w:pPr>
        <w:numPr>
          <w:ilvl w:val="0"/>
          <w:numId w:val="1"/>
        </w:numPr>
        <w:spacing w:line="360" w:lineRule="auto"/>
        <w:rPr>
          <w:rFonts w:ascii="仿宋_GB2312" w:eastAsia="仿宋_GB2312"/>
          <w:sz w:val="28"/>
          <w:szCs w:val="28"/>
        </w:rPr>
      </w:pPr>
      <w:r>
        <w:rPr>
          <w:rFonts w:hint="eastAsia" w:ascii="仿宋_GB2312" w:eastAsia="仿宋_GB2312"/>
          <w:sz w:val="28"/>
          <w:szCs w:val="28"/>
        </w:rPr>
        <w:t>申报日期要求大于等于收付汇日期，小于等于当前系统日期。</w:t>
      </w:r>
    </w:p>
    <w:p>
      <w:pPr>
        <w:numPr>
          <w:ilvl w:val="0"/>
          <w:numId w:val="1"/>
        </w:numPr>
        <w:spacing w:line="360" w:lineRule="auto"/>
        <w:rPr>
          <w:rFonts w:ascii="仿宋_GB2312" w:eastAsia="仿宋_GB2312"/>
          <w:sz w:val="28"/>
          <w:szCs w:val="28"/>
        </w:rPr>
      </w:pPr>
      <w:r>
        <w:rPr>
          <w:rFonts w:hint="eastAsia" w:ascii="仿宋_GB2312" w:eastAsia="仿宋_GB2312"/>
          <w:sz w:val="28"/>
          <w:szCs w:val="28"/>
        </w:rPr>
        <w:t>交易编码1必输，交易编码2选输。其中交易编码1代表最大金额的交易对应的国际收支交易性质。另外，两个交易编码对应金额之和必须等于收入款金额。</w:t>
      </w:r>
    </w:p>
    <w:p>
      <w:pPr>
        <w:snapToGrid w:val="0"/>
        <w:spacing w:line="360" w:lineRule="auto"/>
        <w:ind w:firstLine="560" w:firstLineChars="200"/>
        <w:rPr>
          <w:rFonts w:hint="eastAsia" w:ascii="仿宋_GB2312" w:hAnsi="宋体" w:eastAsia="仿宋_GB2312"/>
          <w:sz w:val="28"/>
          <w:szCs w:val="28"/>
          <w:lang w:val="en-US" w:eastAsia="zh-CN"/>
        </w:rPr>
      </w:pPr>
    </w:p>
    <w:p>
      <w:pPr>
        <w:snapToGrid w:val="0"/>
        <w:spacing w:line="360" w:lineRule="auto"/>
        <w:ind w:firstLine="560" w:firstLineChars="200"/>
        <w:rPr>
          <w:rFonts w:hint="eastAsia" w:ascii="仿宋_GB2312" w:hAnsi="宋体" w:eastAsia="仿宋_GB2312"/>
          <w:b/>
          <w:bCs/>
          <w:sz w:val="28"/>
          <w:szCs w:val="28"/>
          <w:lang w:val="en-US" w:eastAsia="zh-CN"/>
        </w:rPr>
      </w:pPr>
      <w:r>
        <w:rPr>
          <w:rFonts w:hint="eastAsia" w:ascii="仿宋_GB2312" w:hAnsi="宋体" w:eastAsia="仿宋_GB2312"/>
          <w:b/>
          <w:bCs/>
          <w:sz w:val="28"/>
          <w:szCs w:val="28"/>
          <w:lang w:val="en-US" w:eastAsia="zh-CN"/>
        </w:rPr>
        <w:t>受理部门：各外汇指定银行</w:t>
      </w:r>
    </w:p>
    <w:p>
      <w:pPr>
        <w:snapToGrid w:val="0"/>
        <w:spacing w:line="360" w:lineRule="auto"/>
        <w:ind w:firstLine="560" w:firstLineChars="200"/>
        <w:rPr>
          <w:rFonts w:hint="eastAsia" w:ascii="仿宋_GB2312" w:hAnsi="宋体" w:eastAsia="仿宋_GB2312"/>
          <w:b/>
          <w:bCs/>
          <w:sz w:val="28"/>
          <w:szCs w:val="28"/>
          <w:lang w:val="en-US" w:eastAsia="zh-CN"/>
        </w:rPr>
      </w:pPr>
      <w:r>
        <w:rPr>
          <w:rFonts w:hint="eastAsia" w:ascii="仿宋_GB2312" w:hAnsi="宋体" w:eastAsia="仿宋_GB2312"/>
          <w:b/>
          <w:bCs/>
          <w:sz w:val="28"/>
          <w:szCs w:val="28"/>
          <w:lang w:val="en-US" w:eastAsia="zh-CN"/>
        </w:rPr>
        <w:t>咨询电话：0451-82271275</w:t>
      </w:r>
      <w:bookmarkStart w:id="6" w:name="_GoBack"/>
      <w:bookmarkEnd w:id="6"/>
    </w:p>
    <w:sectPr>
      <w:headerReference r:id="rId6" w:type="first"/>
      <w:footerReference r:id="rId9" w:type="first"/>
      <w:headerReference r:id="rId4" w:type="default"/>
      <w:footerReference r:id="rId7" w:type="default"/>
      <w:headerReference r:id="rId5" w:type="even"/>
      <w:footerReference r:id="rId8"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A00002EF" w:usb1="4000207B" w:usb2="00000000" w:usb3="00000000" w:csb0="2000009F" w:csb1="00000000"/>
  </w:font>
  <w:font w:name="仿宋_GB2312">
    <w:panose1 w:val="02010609030101010101"/>
    <w:charset w:val="86"/>
    <w:family w:val="auto"/>
    <w:pitch w:val="default"/>
    <w:sig w:usb0="00000001" w:usb1="080E0000" w:usb2="00000000" w:usb3="00000000" w:csb0="00040000" w:csb1="00000000"/>
  </w:font>
  <w:font w:name="仿宋">
    <w:altName w:val="仿宋_GB2312"/>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
      <w:jc w:val="center"/>
    </w:pPr>
    <w:r>
      <w:fldChar w:fldCharType="begin"/>
    </w:r>
    <w:r>
      <w:instrText xml:space="preserve"> PAGE   \* MERGEFORMAT </w:instrText>
    </w:r>
    <w:r>
      <w:fldChar w:fldCharType="separate"/>
    </w:r>
    <w:r>
      <w:rPr>
        <w:lang w:val="zh-CN"/>
      </w:rPr>
      <w:t>1</w:t>
    </w:r>
    <w:r>
      <w:fldChar w:fldCharType="end"/>
    </w: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32268238">
    <w:nsid w:val="01EC5FCE"/>
    <w:multiLevelType w:val="multilevel"/>
    <w:tmpl w:val="01EC5FCE"/>
    <w:lvl w:ilvl="0" w:tentative="1">
      <w:start w:val="1"/>
      <w:numFmt w:val="decimal"/>
      <w:lvlText w:val="%1)"/>
      <w:lvlJc w:val="left"/>
      <w:pPr>
        <w:ind w:left="1140" w:hanging="420"/>
      </w:pPr>
    </w:lvl>
    <w:lvl w:ilvl="1" w:tentative="1">
      <w:start w:val="1"/>
      <w:numFmt w:val="lowerLetter"/>
      <w:lvlText w:val="%2)"/>
      <w:lvlJc w:val="left"/>
      <w:pPr>
        <w:ind w:left="1560" w:hanging="420"/>
      </w:pPr>
    </w:lvl>
    <w:lvl w:ilvl="2" w:tentative="1">
      <w:start w:val="1"/>
      <w:numFmt w:val="lowerRoman"/>
      <w:lvlText w:val="%3."/>
      <w:lvlJc w:val="right"/>
      <w:pPr>
        <w:ind w:left="1980" w:hanging="420"/>
      </w:pPr>
    </w:lvl>
    <w:lvl w:ilvl="3" w:tentative="1">
      <w:start w:val="1"/>
      <w:numFmt w:val="decimal"/>
      <w:lvlText w:val="%4."/>
      <w:lvlJc w:val="left"/>
      <w:pPr>
        <w:ind w:left="2400" w:hanging="420"/>
      </w:pPr>
    </w:lvl>
    <w:lvl w:ilvl="4" w:tentative="1">
      <w:start w:val="1"/>
      <w:numFmt w:val="lowerLetter"/>
      <w:lvlText w:val="%5)"/>
      <w:lvlJc w:val="left"/>
      <w:pPr>
        <w:ind w:left="2820" w:hanging="420"/>
      </w:pPr>
    </w:lvl>
    <w:lvl w:ilvl="5" w:tentative="1">
      <w:start w:val="1"/>
      <w:numFmt w:val="lowerRoman"/>
      <w:lvlText w:val="%6."/>
      <w:lvlJc w:val="right"/>
      <w:pPr>
        <w:ind w:left="3240" w:hanging="420"/>
      </w:pPr>
    </w:lvl>
    <w:lvl w:ilvl="6" w:tentative="1">
      <w:start w:val="1"/>
      <w:numFmt w:val="decimal"/>
      <w:lvlText w:val="%7."/>
      <w:lvlJc w:val="left"/>
      <w:pPr>
        <w:ind w:left="3660" w:hanging="420"/>
      </w:pPr>
    </w:lvl>
    <w:lvl w:ilvl="7" w:tentative="1">
      <w:start w:val="1"/>
      <w:numFmt w:val="lowerLetter"/>
      <w:lvlText w:val="%8)"/>
      <w:lvlJc w:val="left"/>
      <w:pPr>
        <w:ind w:left="4080" w:hanging="420"/>
      </w:pPr>
    </w:lvl>
    <w:lvl w:ilvl="8" w:tentative="1">
      <w:start w:val="1"/>
      <w:numFmt w:val="lowerRoman"/>
      <w:lvlText w:val="%9."/>
      <w:lvlJc w:val="right"/>
      <w:pPr>
        <w:ind w:left="4500" w:hanging="420"/>
      </w:pPr>
    </w:lvl>
  </w:abstractNum>
  <w:num w:numId="1">
    <w:abstractNumId w:val="322682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CD0348"/>
    <w:rsid w:val="00086A62"/>
    <w:rsid w:val="000E2F84"/>
    <w:rsid w:val="0012441A"/>
    <w:rsid w:val="0023494C"/>
    <w:rsid w:val="002C0775"/>
    <w:rsid w:val="002D3BC6"/>
    <w:rsid w:val="00355190"/>
    <w:rsid w:val="00386147"/>
    <w:rsid w:val="00395810"/>
    <w:rsid w:val="004D3163"/>
    <w:rsid w:val="00534CE0"/>
    <w:rsid w:val="00580382"/>
    <w:rsid w:val="005D48C9"/>
    <w:rsid w:val="006A7AD8"/>
    <w:rsid w:val="00760EEF"/>
    <w:rsid w:val="00835051"/>
    <w:rsid w:val="008448DE"/>
    <w:rsid w:val="009222F3"/>
    <w:rsid w:val="00950D92"/>
    <w:rsid w:val="00A1719D"/>
    <w:rsid w:val="00A30F80"/>
    <w:rsid w:val="00AA6C7C"/>
    <w:rsid w:val="00B21822"/>
    <w:rsid w:val="00B83B16"/>
    <w:rsid w:val="00C27EA5"/>
    <w:rsid w:val="00C5219A"/>
    <w:rsid w:val="00C66A16"/>
    <w:rsid w:val="00CD0348"/>
    <w:rsid w:val="00D4128A"/>
    <w:rsid w:val="00D80417"/>
    <w:rsid w:val="00D974F9"/>
    <w:rsid w:val="00DB5ADE"/>
    <w:rsid w:val="00DC09E2"/>
    <w:rsid w:val="00DD6C76"/>
    <w:rsid w:val="00E95727"/>
    <w:rsid w:val="00F2066F"/>
    <w:rsid w:val="00FB2C75"/>
    <w:rsid w:val="0153399C"/>
    <w:rsid w:val="2E6C16EE"/>
    <w:rsid w:val="394A3EE4"/>
    <w:rsid w:val="431E0A98"/>
    <w:rsid w:val="77282453"/>
    <w:rsid w:val="7E9733DE"/>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0"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99" w:semiHidden="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unhideWhenUsed/>
    <w:uiPriority w:val="1"/>
  </w:style>
  <w:style w:type="table" w:default="1" w:styleId="8">
    <w:name w:val="Normal Table"/>
    <w:unhideWhenUsed/>
    <w:qFormat/>
    <w:uiPriority w:val="99"/>
    <w:tblPr>
      <w:tblStyle w:val="8"/>
      <w:tblLayout w:type="fixed"/>
      <w:tblCellMar>
        <w:top w:w="0" w:type="dxa"/>
        <w:left w:w="108" w:type="dxa"/>
        <w:bottom w:w="0" w:type="dxa"/>
        <w:right w:w="108" w:type="dxa"/>
      </w:tblCellMar>
    </w:tblPr>
    <w:tcPr>
      <w:textDirection w:val="lrTb"/>
    </w:tcPr>
  </w:style>
  <w:style w:type="paragraph" w:styleId="2">
    <w:name w:val="Balloon Text"/>
    <w:basedOn w:val="1"/>
    <w:link w:val="10"/>
    <w:unhideWhenUsed/>
    <w:uiPriority w:val="99"/>
    <w:rPr>
      <w:sz w:val="18"/>
      <w:szCs w:val="18"/>
    </w:rPr>
  </w:style>
  <w:style w:type="paragraph" w:styleId="3">
    <w:name w:val="footer"/>
    <w:basedOn w:val="1"/>
    <w:link w:val="12"/>
    <w:unhideWhenUsed/>
    <w:uiPriority w:val="99"/>
    <w:pPr>
      <w:tabs>
        <w:tab w:val="center" w:pos="4153"/>
        <w:tab w:val="right" w:pos="8306"/>
      </w:tabs>
      <w:snapToGrid w:val="0"/>
      <w:jc w:val="left"/>
    </w:pPr>
    <w:rPr>
      <w:sz w:val="18"/>
      <w:szCs w:val="18"/>
    </w:rPr>
  </w:style>
  <w:style w:type="paragraph" w:styleId="4">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Hyperlink"/>
    <w:uiPriority w:val="0"/>
    <w:rPr>
      <w:color w:val="0000FF"/>
      <w:u w:val="single"/>
    </w:rPr>
  </w:style>
  <w:style w:type="paragraph" w:customStyle="1" w:styleId="9">
    <w:name w:val="List Paragraph"/>
    <w:basedOn w:val="1"/>
    <w:qFormat/>
    <w:uiPriority w:val="0"/>
    <w:pPr>
      <w:ind w:firstLine="420" w:firstLineChars="200"/>
    </w:pPr>
  </w:style>
  <w:style w:type="character" w:customStyle="1" w:styleId="10">
    <w:name w:val="批注框文本 Char"/>
    <w:basedOn w:val="6"/>
    <w:link w:val="2"/>
    <w:semiHidden/>
    <w:uiPriority w:val="99"/>
    <w:rPr>
      <w:sz w:val="18"/>
      <w:szCs w:val="18"/>
    </w:rPr>
  </w:style>
  <w:style w:type="character" w:customStyle="1" w:styleId="11">
    <w:name w:val="页眉 Char"/>
    <w:basedOn w:val="6"/>
    <w:link w:val="4"/>
    <w:semiHidden/>
    <w:uiPriority w:val="99"/>
    <w:rPr>
      <w:sz w:val="18"/>
      <w:szCs w:val="18"/>
    </w:rPr>
  </w:style>
  <w:style w:type="character" w:customStyle="1" w:styleId="12">
    <w:name w:val="页脚 Char"/>
    <w:basedOn w:val="6"/>
    <w:link w:val="3"/>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settings" Target="settings.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6.pn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tyles" Target="styles.xml"/><Relationship Id="rId19" Type="http://schemas.openxmlformats.org/officeDocument/2006/relationships/image" Target="media/image9.jpe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ss</Company>
  <Pages>11</Pages>
  <Words>1866</Words>
  <Characters>2066</Characters>
  <Lines>15</Lines>
  <Paragraphs>4</Paragraphs>
  <ScaleCrop>false</ScaleCrop>
  <LinksUpToDate>false</LinksUpToDate>
  <CharactersWithSpaces>0</CharactersWithSpaces>
  <Application>WPS Office 专业版_9.1.0.4940_F1E327BC-269C-435d-A152-05C5408002CA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2018-07-17T08:51:00Z</dcterms:created>
  <dc:creator>fzgr01</dc:creator>
  <cp:lastModifiedBy>Administrator</cp:lastModifiedBy>
  <dcterms:modified xsi:type="dcterms:W3CDTF">2019-05-31T00:10:49Z</dcterms:modified>
  <dc:title>国际收支网上申报操作指引</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2052-9.1.0.4940</vt:lpwstr>
  </property>
</Properties>
</file>