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5B" w:rsidRDefault="00A4045B">
      <w:pPr>
        <w:jc w:val="center"/>
        <w:rPr>
          <w:rFonts w:ascii="Times New Roman" w:hAnsi="Times New Roman" w:cs="Times New Roman"/>
          <w:b/>
          <w:bCs/>
          <w:sz w:val="36"/>
          <w:szCs w:val="36"/>
        </w:rPr>
      </w:pPr>
      <w:r>
        <w:rPr>
          <w:rFonts w:cs="宋体" w:hint="eastAsia"/>
          <w:b/>
          <w:bCs/>
          <w:sz w:val="36"/>
          <w:szCs w:val="36"/>
        </w:rPr>
        <w:t>外商直接投资企业资本金意愿结汇业务问答</w:t>
      </w:r>
    </w:p>
    <w:p w:rsidR="00A4045B" w:rsidRDefault="00A4045B">
      <w:pPr>
        <w:ind w:firstLineChars="200" w:firstLine="31680"/>
        <w:rPr>
          <w:rFonts w:ascii="仿宋_GB2312" w:eastAsia="仿宋_GB2312" w:hAnsi="Times New Roman" w:cstheme="minorBidi"/>
          <w:sz w:val="30"/>
          <w:szCs w:val="30"/>
        </w:rPr>
      </w:pPr>
      <w:r>
        <w:rPr>
          <w:rFonts w:ascii="仿宋_GB2312" w:eastAsia="仿宋_GB2312" w:hAnsi="Times New Roman" w:cs="仿宋_GB2312" w:hint="eastAsia"/>
          <w:sz w:val="30"/>
          <w:szCs w:val="30"/>
        </w:rPr>
        <w:t>为进一步深化外汇管理体制改革，更好地满足和便利外商投资企业经营与资金运作需要，国家外汇管理局发布了《国家外汇管理局关于在部分地区开展外商投资企业外汇资本金结汇管理方式改革试点有关问题的通知》（汇发〔</w:t>
      </w:r>
      <w:r>
        <w:rPr>
          <w:rFonts w:ascii="仿宋_GB2312" w:eastAsia="仿宋_GB2312" w:hAnsi="Times New Roman" w:cs="仿宋_GB2312"/>
          <w:sz w:val="30"/>
          <w:szCs w:val="30"/>
        </w:rPr>
        <w:t>2014</w:t>
      </w:r>
      <w:r>
        <w:rPr>
          <w:rFonts w:ascii="仿宋_GB2312" w:eastAsia="仿宋_GB2312" w:hAnsi="Times New Roman" w:cs="仿宋_GB2312" w:hint="eastAsia"/>
          <w:sz w:val="30"/>
          <w:szCs w:val="30"/>
        </w:rPr>
        <w:t>〕</w:t>
      </w:r>
      <w:r>
        <w:rPr>
          <w:rFonts w:ascii="仿宋_GB2312" w:eastAsia="仿宋_GB2312" w:hAnsi="Times New Roman" w:cs="仿宋_GB2312"/>
          <w:sz w:val="30"/>
          <w:szCs w:val="30"/>
        </w:rPr>
        <w:t>36</w:t>
      </w:r>
      <w:r>
        <w:rPr>
          <w:rFonts w:ascii="仿宋_GB2312" w:eastAsia="仿宋_GB2312" w:hAnsi="Times New Roman" w:cs="仿宋_GB2312" w:hint="eastAsia"/>
          <w:sz w:val="30"/>
          <w:szCs w:val="30"/>
        </w:rPr>
        <w:t>号），在部分地区开展外商投资企业资本金结汇管理方式改革试点，</w:t>
      </w:r>
      <w:bookmarkStart w:id="0" w:name="OLE_LINK1"/>
      <w:bookmarkStart w:id="1" w:name="OLE_LINK2"/>
      <w:r>
        <w:rPr>
          <w:rFonts w:ascii="仿宋_GB2312" w:eastAsia="仿宋_GB2312" w:hAnsi="Times New Roman" w:cs="仿宋_GB2312" w:hint="eastAsia"/>
          <w:sz w:val="30"/>
          <w:szCs w:val="30"/>
        </w:rPr>
        <w:t>外商投资企业外汇资本金实行意愿结汇</w:t>
      </w:r>
      <w:bookmarkEnd w:id="0"/>
      <w:bookmarkEnd w:id="1"/>
      <w:r>
        <w:rPr>
          <w:rFonts w:ascii="仿宋_GB2312" w:eastAsia="仿宋_GB2312" w:hAnsi="Times New Roman" w:cs="仿宋_GB2312" w:hint="eastAsia"/>
          <w:sz w:val="30"/>
          <w:szCs w:val="30"/>
        </w:rPr>
        <w:t>。</w:t>
      </w:r>
    </w:p>
    <w:p w:rsidR="00A4045B" w:rsidRDefault="00A4045B">
      <w:pPr>
        <w:ind w:firstLineChars="200" w:firstLine="31680"/>
        <w:rPr>
          <w:rFonts w:ascii="仿宋_GB2312" w:eastAsia="仿宋_GB2312" w:hAnsi="Times New Roman" w:cstheme="minorBidi"/>
          <w:b/>
          <w:bCs/>
          <w:sz w:val="30"/>
          <w:szCs w:val="30"/>
        </w:rPr>
      </w:pPr>
      <w:r>
        <w:rPr>
          <w:rFonts w:ascii="仿宋_GB2312" w:eastAsia="仿宋_GB2312" w:hAnsi="Times New Roman" w:cs="仿宋_GB2312"/>
          <w:b/>
          <w:bCs/>
          <w:sz w:val="30"/>
          <w:szCs w:val="30"/>
        </w:rPr>
        <w:t>1</w:t>
      </w:r>
      <w:r>
        <w:rPr>
          <w:rFonts w:ascii="仿宋_GB2312" w:eastAsia="仿宋_GB2312" w:hAnsi="Times New Roman" w:cs="仿宋_GB2312" w:hint="eastAsia"/>
          <w:b/>
          <w:bCs/>
          <w:sz w:val="30"/>
          <w:szCs w:val="30"/>
        </w:rPr>
        <w:t>、问：什么是资本金意愿结汇？</w:t>
      </w:r>
    </w:p>
    <w:p w:rsidR="00A4045B" w:rsidRDefault="00A4045B">
      <w:pPr>
        <w:ind w:firstLineChars="200" w:firstLine="31680"/>
        <w:rPr>
          <w:rFonts w:ascii="仿宋_GB2312" w:eastAsia="仿宋_GB2312" w:hAnsi="Times New Roman" w:cstheme="minorBidi"/>
          <w:sz w:val="30"/>
          <w:szCs w:val="30"/>
        </w:rPr>
      </w:pPr>
      <w:r>
        <w:rPr>
          <w:rFonts w:ascii="仿宋_GB2312" w:eastAsia="仿宋_GB2312" w:hAnsi="Times New Roman" w:cs="仿宋_GB2312" w:hint="eastAsia"/>
          <w:sz w:val="30"/>
          <w:szCs w:val="30"/>
        </w:rPr>
        <w:t>答：外商投资企业外汇资本金意愿结汇是指外商投资企业资本金账户中经所在地外汇局办理出资权益确认的外汇资本金可根据企业的实际经营需要在银行办理结汇。试点区域内注册成立的外商投资企业外汇资本金意愿结汇比例暂定为</w:t>
      </w:r>
      <w:r>
        <w:rPr>
          <w:rFonts w:ascii="仿宋_GB2312" w:eastAsia="仿宋_GB2312" w:hAnsi="Times New Roman" w:cs="仿宋_GB2312"/>
          <w:sz w:val="30"/>
          <w:szCs w:val="30"/>
        </w:rPr>
        <w:t>100%</w:t>
      </w:r>
      <w:r>
        <w:rPr>
          <w:rFonts w:ascii="仿宋_GB2312" w:eastAsia="仿宋_GB2312" w:hAnsi="Times New Roman" w:cs="仿宋_GB2312" w:hint="eastAsia"/>
          <w:sz w:val="30"/>
          <w:szCs w:val="30"/>
        </w:rPr>
        <w:t>。目前黑龙江省试点地区包括哈尔滨、齐齐哈尔及佳木斯市。在实行外汇资本金意愿结汇的同时，外商投资企业仍可选择现行支付结汇制使用其外汇资本金。</w:t>
      </w:r>
    </w:p>
    <w:p w:rsidR="00A4045B" w:rsidRDefault="00A4045B">
      <w:pPr>
        <w:ind w:firstLineChars="200" w:firstLine="31680"/>
        <w:rPr>
          <w:rFonts w:ascii="仿宋_GB2312" w:eastAsia="仿宋_GB2312" w:hAnsi="Times New Roman" w:cstheme="minorBidi"/>
          <w:b/>
          <w:bCs/>
          <w:sz w:val="30"/>
          <w:szCs w:val="30"/>
        </w:rPr>
      </w:pPr>
      <w:r>
        <w:rPr>
          <w:rFonts w:ascii="仿宋_GB2312" w:eastAsia="仿宋_GB2312" w:hAnsi="Times New Roman" w:cs="仿宋_GB2312"/>
          <w:b/>
          <w:bCs/>
          <w:sz w:val="30"/>
          <w:szCs w:val="30"/>
        </w:rPr>
        <w:t>2</w:t>
      </w:r>
      <w:r>
        <w:rPr>
          <w:rFonts w:ascii="仿宋_GB2312" w:eastAsia="仿宋_GB2312" w:hAnsi="Times New Roman" w:cs="仿宋_GB2312" w:hint="eastAsia"/>
          <w:b/>
          <w:bCs/>
          <w:sz w:val="30"/>
          <w:szCs w:val="30"/>
        </w:rPr>
        <w:t>、问：如何办理资本金意愿结汇？</w:t>
      </w:r>
    </w:p>
    <w:p w:rsidR="00A4045B" w:rsidRDefault="00A4045B">
      <w:pPr>
        <w:ind w:firstLineChars="200" w:firstLine="31680"/>
        <w:rPr>
          <w:rFonts w:ascii="仿宋_GB2312" w:eastAsia="仿宋_GB2312" w:hAnsi="Times New Roman" w:cstheme="minorBidi"/>
          <w:sz w:val="30"/>
          <w:szCs w:val="30"/>
        </w:rPr>
      </w:pPr>
      <w:r>
        <w:rPr>
          <w:rFonts w:ascii="仿宋_GB2312" w:eastAsia="仿宋_GB2312" w:hAnsi="Times New Roman" w:cs="仿宋_GB2312" w:hint="eastAsia"/>
          <w:sz w:val="30"/>
          <w:szCs w:val="30"/>
        </w:rPr>
        <w:t>答：外商投资企业应在其资本金账户开户银行开立一一对应的资本项目</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结汇待支付账户，用于存放意愿结汇所得人民币资金，并通过该账户办理各类支付手续。外商投资企业按支付结汇原则结汇所得人民币资金不得通过结汇待支付账户进行支付。</w:t>
      </w:r>
    </w:p>
    <w:p w:rsidR="00A4045B" w:rsidRDefault="00A4045B">
      <w:pPr>
        <w:ind w:firstLineChars="200" w:firstLine="31680"/>
        <w:rPr>
          <w:rFonts w:ascii="仿宋_GB2312" w:eastAsia="仿宋_GB2312" w:hAnsi="Times New Roman" w:cstheme="minorBidi"/>
          <w:b/>
          <w:bCs/>
          <w:sz w:val="30"/>
          <w:szCs w:val="30"/>
        </w:rPr>
      </w:pPr>
      <w:r>
        <w:rPr>
          <w:rFonts w:ascii="仿宋_GB2312" w:eastAsia="仿宋_GB2312" w:hAnsi="Times New Roman" w:cs="仿宋_GB2312"/>
          <w:b/>
          <w:bCs/>
          <w:sz w:val="30"/>
          <w:szCs w:val="30"/>
        </w:rPr>
        <w:t>3</w:t>
      </w:r>
      <w:r>
        <w:rPr>
          <w:rFonts w:ascii="仿宋_GB2312" w:eastAsia="仿宋_GB2312" w:hAnsi="Times New Roman" w:cs="仿宋_GB2312" w:hint="eastAsia"/>
          <w:b/>
          <w:bCs/>
          <w:sz w:val="30"/>
          <w:szCs w:val="30"/>
        </w:rPr>
        <w:t>、问：结汇待支付账户的收支范围是什么？</w:t>
      </w:r>
    </w:p>
    <w:p w:rsidR="00A4045B" w:rsidRDefault="00A4045B">
      <w:pPr>
        <w:ind w:firstLineChars="200" w:firstLine="31680"/>
        <w:rPr>
          <w:rFonts w:ascii="仿宋_GB2312" w:eastAsia="仿宋_GB2312" w:hAnsi="Times New Roman" w:cstheme="minorBidi"/>
          <w:sz w:val="30"/>
          <w:szCs w:val="30"/>
        </w:rPr>
      </w:pPr>
      <w:r>
        <w:rPr>
          <w:rFonts w:ascii="仿宋_GB2312" w:eastAsia="仿宋_GB2312" w:hAnsi="Times New Roman" w:cs="仿宋_GB2312" w:hint="eastAsia"/>
          <w:sz w:val="30"/>
          <w:szCs w:val="30"/>
        </w:rPr>
        <w:t>答：结汇待支付账户的收入范围包括：由对应的资本金账户、境内资产变现账户、境内再投资账户结汇划入的资金，由本账户合规划出后划回的资金，因交易撤销退回的资金，人民币利息收入及经外汇局登记或核准的其他收入。</w:t>
      </w:r>
    </w:p>
    <w:p w:rsidR="00A4045B" w:rsidRDefault="00A4045B">
      <w:pPr>
        <w:ind w:firstLineChars="200" w:firstLine="31680"/>
        <w:rPr>
          <w:rFonts w:ascii="仿宋_GB2312" w:eastAsia="仿宋_GB2312" w:hAnsi="Times New Roman" w:cstheme="minorBidi"/>
          <w:sz w:val="30"/>
          <w:szCs w:val="30"/>
        </w:rPr>
      </w:pPr>
      <w:r>
        <w:rPr>
          <w:rFonts w:ascii="仿宋_GB2312" w:eastAsia="仿宋_GB2312" w:hAnsi="Times New Roman" w:cs="仿宋_GB2312" w:hint="eastAsia"/>
          <w:sz w:val="30"/>
          <w:szCs w:val="30"/>
        </w:rPr>
        <w:t>结汇待支付账户的支出范围包括：经营范围内的支出，支付人民币保证金、划往资金集中管理专户，偿还已使用完毕的人民币贷款，购付汇或直接对外偿还外债，外国投资者减资、撤资资金购付汇或直接对外支付，购付汇或直接对外支付经常项目支出及经外汇局登记或核准的其他资本项目支出。</w:t>
      </w:r>
    </w:p>
    <w:p w:rsidR="00A4045B" w:rsidRDefault="00A4045B">
      <w:pPr>
        <w:ind w:firstLineChars="200" w:firstLine="31680"/>
        <w:rPr>
          <w:rFonts w:ascii="仿宋_GB2312" w:eastAsia="仿宋_GB2312" w:hAnsi="Times New Roman" w:cstheme="minorBidi"/>
          <w:b/>
          <w:bCs/>
          <w:sz w:val="30"/>
          <w:szCs w:val="30"/>
        </w:rPr>
      </w:pPr>
      <w:r>
        <w:rPr>
          <w:rFonts w:ascii="仿宋_GB2312" w:eastAsia="仿宋_GB2312" w:hAnsi="Times New Roman" w:cs="仿宋_GB2312"/>
          <w:b/>
          <w:bCs/>
          <w:sz w:val="30"/>
          <w:szCs w:val="30"/>
        </w:rPr>
        <w:t>4</w:t>
      </w:r>
      <w:r>
        <w:rPr>
          <w:rFonts w:ascii="仿宋_GB2312" w:eastAsia="仿宋_GB2312" w:hAnsi="Times New Roman" w:cs="仿宋_GB2312" w:hint="eastAsia"/>
          <w:b/>
          <w:bCs/>
          <w:sz w:val="30"/>
          <w:szCs w:val="30"/>
        </w:rPr>
        <w:t>、问：结汇待支付账户资金如何支用？</w:t>
      </w:r>
    </w:p>
    <w:p w:rsidR="00A4045B" w:rsidRDefault="00A4045B">
      <w:pPr>
        <w:ind w:firstLineChars="200" w:firstLine="31680"/>
        <w:rPr>
          <w:rFonts w:ascii="仿宋_GB2312" w:eastAsia="仿宋_GB2312" w:hAnsi="Times New Roman" w:cstheme="minorBidi"/>
          <w:sz w:val="30"/>
          <w:szCs w:val="30"/>
        </w:rPr>
      </w:pPr>
      <w:bookmarkStart w:id="2" w:name="OLE_LINK3"/>
      <w:bookmarkStart w:id="3" w:name="OLE_LINK4"/>
      <w:r>
        <w:rPr>
          <w:rFonts w:ascii="仿宋_GB2312" w:eastAsia="仿宋_GB2312" w:hAnsi="Times New Roman" w:cs="仿宋_GB2312" w:hint="eastAsia"/>
          <w:sz w:val="30"/>
          <w:szCs w:val="30"/>
        </w:rPr>
        <w:t>答：外国投资者、外商投资企业及其他相关申请主体应按规定如实向外汇局和银行提供相关真实性证明材料，并在办理资本金结汇所得人民币资金的支付使用（包括外汇资本金直接支付使用）时填写《直接投资相关账户资金支付命令函》</w:t>
      </w:r>
      <w:bookmarkEnd w:id="2"/>
      <w:bookmarkEnd w:id="3"/>
      <w:r>
        <w:rPr>
          <w:rFonts w:ascii="仿宋_GB2312" w:eastAsia="仿宋_GB2312" w:hAnsi="Times New Roman" w:cs="仿宋_GB2312" w:hint="eastAsia"/>
          <w:sz w:val="30"/>
          <w:szCs w:val="30"/>
        </w:rPr>
        <w:t>，在办理每一笔资金支付时，均应提供前一笔支付的证明材料，并确保材料的真实性与合规性。</w:t>
      </w:r>
    </w:p>
    <w:p w:rsidR="00A4045B" w:rsidRDefault="00A4045B">
      <w:pPr>
        <w:ind w:firstLineChars="200" w:firstLine="31680"/>
        <w:rPr>
          <w:rFonts w:ascii="仿宋_GB2312" w:eastAsia="仿宋_GB2312" w:hAnsi="Times New Roman" w:cstheme="minorBidi"/>
          <w:sz w:val="30"/>
          <w:szCs w:val="30"/>
        </w:rPr>
      </w:pPr>
    </w:p>
    <w:sectPr w:rsidR="00A4045B" w:rsidSect="00A40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5B" w:rsidRDefault="00A4045B">
      <w:pPr>
        <w:rPr>
          <w:rFonts w:ascii="Times New Roman" w:hAnsi="Times New Roman" w:cs="Times New Roman"/>
        </w:rPr>
      </w:pPr>
      <w:r>
        <w:rPr>
          <w:rFonts w:ascii="Times New Roman" w:hAnsi="Times New Roman" w:cs="Times New Roman"/>
        </w:rPr>
        <w:separator/>
      </w:r>
    </w:p>
  </w:endnote>
  <w:endnote w:type="continuationSeparator" w:id="0">
    <w:p w:rsidR="00A4045B" w:rsidRDefault="00A4045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5B" w:rsidRDefault="00A4045B">
      <w:pPr>
        <w:rPr>
          <w:rFonts w:ascii="Times New Roman" w:hAnsi="Times New Roman" w:cs="Times New Roman"/>
        </w:rPr>
      </w:pPr>
      <w:r>
        <w:rPr>
          <w:rFonts w:ascii="Times New Roman" w:hAnsi="Times New Roman" w:cs="Times New Roman"/>
        </w:rPr>
        <w:separator/>
      </w:r>
    </w:p>
  </w:footnote>
  <w:footnote w:type="continuationSeparator" w:id="0">
    <w:p w:rsidR="00A4045B" w:rsidRDefault="00A4045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E28"/>
    <w:multiLevelType w:val="hybridMultilevel"/>
    <w:tmpl w:val="AB8C85E6"/>
    <w:lvl w:ilvl="0" w:tplc="C96CE09E">
      <w:start w:val="1"/>
      <w:numFmt w:val="japaneseCounting"/>
      <w:lvlText w:val="%1、"/>
      <w:lvlJc w:val="left"/>
      <w:pPr>
        <w:ind w:left="840" w:hanging="420"/>
      </w:pPr>
      <w:rPr>
        <w:rFonts w:ascii="Times New Roman" w:hAnsi="Times New Roman" w:cs="Times New Roman" w:hint="default"/>
      </w:rPr>
    </w:lvl>
    <w:lvl w:ilvl="1" w:tplc="04090019">
      <w:start w:val="1"/>
      <w:numFmt w:val="lowerLetter"/>
      <w:lvlText w:val="%2)"/>
      <w:lvlJc w:val="left"/>
      <w:pPr>
        <w:ind w:left="1260" w:hanging="420"/>
      </w:pPr>
      <w:rPr>
        <w:rFonts w:ascii="Times New Roman" w:hAnsi="Times New Roman" w:cs="Times New Roman"/>
      </w:rPr>
    </w:lvl>
    <w:lvl w:ilvl="2" w:tplc="0409001B">
      <w:start w:val="1"/>
      <w:numFmt w:val="lowerRoman"/>
      <w:lvlText w:val="%3."/>
      <w:lvlJc w:val="righ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9">
      <w:start w:val="1"/>
      <w:numFmt w:val="lowerLetter"/>
      <w:lvlText w:val="%5)"/>
      <w:lvlJc w:val="left"/>
      <w:pPr>
        <w:ind w:left="2520" w:hanging="420"/>
      </w:pPr>
      <w:rPr>
        <w:rFonts w:ascii="Times New Roman" w:hAnsi="Times New Roman" w:cs="Times New Roman"/>
      </w:rPr>
    </w:lvl>
    <w:lvl w:ilvl="5" w:tplc="0409001B">
      <w:start w:val="1"/>
      <w:numFmt w:val="lowerRoman"/>
      <w:lvlText w:val="%6."/>
      <w:lvlJc w:val="righ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9">
      <w:start w:val="1"/>
      <w:numFmt w:val="lowerLetter"/>
      <w:lvlText w:val="%8)"/>
      <w:lvlJc w:val="left"/>
      <w:pPr>
        <w:ind w:left="3780" w:hanging="420"/>
      </w:pPr>
      <w:rPr>
        <w:rFonts w:ascii="Times New Roman" w:hAnsi="Times New Roman" w:cs="Times New Roman"/>
      </w:rPr>
    </w:lvl>
    <w:lvl w:ilvl="8" w:tplc="0409001B">
      <w:start w:val="1"/>
      <w:numFmt w:val="lowerRoman"/>
      <w:lvlText w:val="%9."/>
      <w:lvlJc w:val="right"/>
      <w:pPr>
        <w:ind w:left="4200" w:hanging="420"/>
      </w:pPr>
      <w:rPr>
        <w:rFonts w:ascii="Times New Roman" w:hAnsi="Times New Roman" w:cs="Times New Roman"/>
      </w:rPr>
    </w:lvl>
  </w:abstractNum>
  <w:abstractNum w:abstractNumId="1">
    <w:nsid w:val="27546EEC"/>
    <w:multiLevelType w:val="hybridMultilevel"/>
    <w:tmpl w:val="0D525A8C"/>
    <w:lvl w:ilvl="0" w:tplc="1A7EC8BA">
      <w:start w:val="1"/>
      <w:numFmt w:val="japaneseCounting"/>
      <w:lvlText w:val="%1、"/>
      <w:lvlJc w:val="left"/>
      <w:pPr>
        <w:ind w:left="840" w:hanging="420"/>
      </w:pPr>
      <w:rPr>
        <w:rFonts w:ascii="Times New Roman" w:hAnsi="Times New Roman" w:cs="Times New Roman" w:hint="default"/>
      </w:rPr>
    </w:lvl>
    <w:lvl w:ilvl="1" w:tplc="04090019">
      <w:start w:val="1"/>
      <w:numFmt w:val="lowerLetter"/>
      <w:lvlText w:val="%2)"/>
      <w:lvlJc w:val="left"/>
      <w:pPr>
        <w:ind w:left="1260" w:hanging="420"/>
      </w:pPr>
      <w:rPr>
        <w:rFonts w:ascii="Times New Roman" w:hAnsi="Times New Roman" w:cs="Times New Roman"/>
      </w:rPr>
    </w:lvl>
    <w:lvl w:ilvl="2" w:tplc="0409001B">
      <w:start w:val="1"/>
      <w:numFmt w:val="lowerRoman"/>
      <w:lvlText w:val="%3."/>
      <w:lvlJc w:val="righ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9">
      <w:start w:val="1"/>
      <w:numFmt w:val="lowerLetter"/>
      <w:lvlText w:val="%5)"/>
      <w:lvlJc w:val="left"/>
      <w:pPr>
        <w:ind w:left="2520" w:hanging="420"/>
      </w:pPr>
      <w:rPr>
        <w:rFonts w:ascii="Times New Roman" w:hAnsi="Times New Roman" w:cs="Times New Roman"/>
      </w:rPr>
    </w:lvl>
    <w:lvl w:ilvl="5" w:tplc="0409001B">
      <w:start w:val="1"/>
      <w:numFmt w:val="lowerRoman"/>
      <w:lvlText w:val="%6."/>
      <w:lvlJc w:val="righ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9">
      <w:start w:val="1"/>
      <w:numFmt w:val="lowerLetter"/>
      <w:lvlText w:val="%8)"/>
      <w:lvlJc w:val="left"/>
      <w:pPr>
        <w:ind w:left="3780" w:hanging="420"/>
      </w:pPr>
      <w:rPr>
        <w:rFonts w:ascii="Times New Roman" w:hAnsi="Times New Roman" w:cs="Times New Roman"/>
      </w:rPr>
    </w:lvl>
    <w:lvl w:ilvl="8" w:tplc="0409001B">
      <w:start w:val="1"/>
      <w:numFmt w:val="lowerRoman"/>
      <w:lvlText w:val="%9."/>
      <w:lvlJc w:val="right"/>
      <w:pPr>
        <w:ind w:left="4200" w:hanging="42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45B"/>
    <w:rsid w:val="00A404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宋体" w:hAnsi="Calibri" w:cs="Calibri"/>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 w:type="paragraph" w:styleId="ListParagraph">
    <w:name w:val="List Paragraph"/>
    <w:basedOn w:val="Normal"/>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Pages>
  <Words>132</Words>
  <Characters>753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李红</cp:lastModifiedBy>
  <cp:revision>7</cp:revision>
  <dcterms:created xsi:type="dcterms:W3CDTF">2014-08-07T08:36:00Z</dcterms:created>
  <dcterms:modified xsi:type="dcterms:W3CDTF">2015-05-04T03:23:00Z</dcterms:modified>
</cp:coreProperties>
</file>