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82C" w:rsidRDefault="00C844CB">
      <w:pPr>
        <w:adjustRightInd w:val="0"/>
        <w:snapToGrid w:val="0"/>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1</w:t>
      </w:r>
    </w:p>
    <w:p w:rsidR="009A782C" w:rsidRDefault="009A782C">
      <w:pPr>
        <w:adjustRightInd w:val="0"/>
        <w:snapToGrid w:val="0"/>
        <w:rPr>
          <w:rFonts w:ascii="黑体" w:eastAsia="黑体" w:hAnsi="黑体"/>
          <w:sz w:val="32"/>
          <w:szCs w:val="32"/>
        </w:rPr>
      </w:pPr>
    </w:p>
    <w:p w:rsidR="009A782C" w:rsidRDefault="00C844CB">
      <w:pPr>
        <w:adjustRightInd w:val="0"/>
        <w:snapToGrid w:val="0"/>
        <w:contextualSpacing/>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银行办理非金融企业外债签约（变更）</w:t>
      </w:r>
    </w:p>
    <w:p w:rsidR="009A782C" w:rsidRDefault="00C844CB">
      <w:pPr>
        <w:adjustRightInd w:val="0"/>
        <w:snapToGrid w:val="0"/>
        <w:contextualSpacing/>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登记业务实施细则</w:t>
      </w:r>
    </w:p>
    <w:p w:rsidR="009A782C" w:rsidRDefault="009A782C" w:rsidP="00CB150D">
      <w:pPr>
        <w:pStyle w:val="BodyTextFirstIndent21"/>
        <w:adjustRightInd w:val="0"/>
        <w:snapToGrid w:val="0"/>
        <w:ind w:leftChars="0" w:left="83" w:right="0" w:hanging="83"/>
        <w:rPr>
          <w:rFonts w:eastAsia="仿宋_GB2312" w:cs="Times New Roman"/>
          <w:sz w:val="32"/>
          <w:szCs w:val="32"/>
        </w:rPr>
      </w:pPr>
    </w:p>
    <w:p w:rsidR="009A782C" w:rsidRDefault="00C844CB">
      <w:pPr>
        <w:adjustRightInd w:val="0"/>
        <w:snapToGrid w:val="0"/>
        <w:spacing w:line="324" w:lineRule="auto"/>
        <w:ind w:firstLineChars="200" w:firstLine="640"/>
        <w:contextualSpacing/>
        <w:rPr>
          <w:rFonts w:ascii="仿宋_GB2312" w:eastAsia="仿宋_GB2312" w:hAnsi="仿宋_GB2312" w:cs="仿宋_GB2312"/>
          <w:bCs/>
          <w:sz w:val="32"/>
          <w:szCs w:val="32"/>
        </w:rPr>
      </w:pPr>
      <w:r>
        <w:rPr>
          <w:rFonts w:ascii="仿宋_GB2312" w:eastAsia="仿宋_GB2312" w:hAnsi="仿宋_GB2312" w:cs="仿宋_GB2312"/>
          <w:bCs/>
          <w:sz w:val="32"/>
          <w:szCs w:val="32"/>
        </w:rPr>
        <w:t>第一条</w:t>
      </w:r>
      <w:r>
        <w:rPr>
          <w:rFonts w:ascii="仿宋_GB2312" w:eastAsia="仿宋_GB2312" w:hAnsi="仿宋_GB2312" w:cs="仿宋_GB2312"/>
          <w:bCs/>
          <w:sz w:val="32"/>
          <w:szCs w:val="32"/>
        </w:rPr>
        <w:t xml:space="preserve"> </w:t>
      </w:r>
      <w:r>
        <w:rPr>
          <w:rFonts w:ascii="仿宋_GB2312" w:eastAsia="仿宋_GB2312" w:hAnsi="仿宋_GB2312" w:cs="仿宋_GB2312" w:hint="eastAsia"/>
          <w:bCs/>
          <w:sz w:val="32"/>
          <w:szCs w:val="32"/>
        </w:rPr>
        <w:t>为</w:t>
      </w:r>
      <w:r>
        <w:rPr>
          <w:rFonts w:ascii="仿宋_GB2312" w:eastAsia="仿宋_GB2312" w:hAnsi="仿宋_GB2312" w:cs="仿宋_GB2312"/>
          <w:bCs/>
          <w:sz w:val="32"/>
          <w:szCs w:val="32"/>
        </w:rPr>
        <w:t>便利</w:t>
      </w:r>
      <w:r>
        <w:rPr>
          <w:rFonts w:ascii="仿宋_GB2312" w:eastAsia="仿宋_GB2312" w:hAnsi="仿宋_GB2312" w:cs="仿宋_GB2312" w:hint="eastAsia"/>
          <w:bCs/>
          <w:sz w:val="32"/>
          <w:szCs w:val="32"/>
        </w:rPr>
        <w:t>银行办理非金融企业外债签约（变更）登记，</w:t>
      </w:r>
      <w:r>
        <w:rPr>
          <w:rFonts w:ascii="仿宋_GB2312" w:eastAsia="仿宋_GB2312" w:hAnsi="仿宋_GB2312" w:cs="仿宋_GB2312"/>
          <w:bCs/>
          <w:sz w:val="32"/>
          <w:szCs w:val="32"/>
        </w:rPr>
        <w:t>根据《中华人民共和国外汇管理条例》</w:t>
      </w:r>
      <w:r>
        <w:rPr>
          <w:rFonts w:ascii="仿宋_GB2312" w:eastAsia="仿宋_GB2312" w:hAnsi="仿宋_GB2312" w:cs="仿宋_GB2312" w:hint="eastAsia"/>
          <w:bCs/>
          <w:sz w:val="32"/>
          <w:szCs w:val="32"/>
        </w:rPr>
        <w:t>等相关规定，按照服务实体经济、有效防范风险的原则，制订本实施细则。</w:t>
      </w:r>
    </w:p>
    <w:p w:rsidR="009A782C" w:rsidRDefault="00C844CB">
      <w:pPr>
        <w:adjustRightInd w:val="0"/>
        <w:snapToGrid w:val="0"/>
        <w:spacing w:line="324" w:lineRule="auto"/>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bCs/>
          <w:sz w:val="32"/>
          <w:szCs w:val="32"/>
        </w:rPr>
        <w:t>第二条</w:t>
      </w:r>
      <w:r>
        <w:rPr>
          <w:rFonts w:ascii="仿宋_GB2312" w:eastAsia="仿宋_GB2312" w:hAnsi="仿宋_GB2312" w:cs="仿宋_GB2312"/>
          <w:bCs/>
          <w:sz w:val="32"/>
          <w:szCs w:val="32"/>
        </w:rPr>
        <w:t xml:space="preserve"> </w:t>
      </w:r>
      <w:r>
        <w:rPr>
          <w:rFonts w:ascii="仿宋_GB2312" w:eastAsia="仿宋_GB2312" w:hAnsi="仿宋_GB2312" w:cs="仿宋_GB2312"/>
          <w:bCs/>
          <w:sz w:val="32"/>
          <w:szCs w:val="32"/>
        </w:rPr>
        <w:t>本实施细则所指非金融企业是指</w:t>
      </w:r>
      <w:r>
        <w:rPr>
          <w:rFonts w:ascii="仿宋_GB2312" w:eastAsia="仿宋_GB2312" w:hAnsi="仿宋_GB2312" w:cs="仿宋_GB2312" w:hint="eastAsia"/>
          <w:kern w:val="0"/>
          <w:sz w:val="32"/>
          <w:szCs w:val="32"/>
        </w:rPr>
        <w:t>选择全口径跨境融资宏观审慎模式借用外债的非金融企业债务人（房地产企业、地方政府融资平台、融资租赁公司、融资担保公司、商业保理公司、地方资产管理公司、小额贷款公司、典当行除外）</w:t>
      </w:r>
      <w:r>
        <w:rPr>
          <w:rFonts w:ascii="仿宋_GB2312" w:eastAsia="仿宋_GB2312" w:hAnsi="仿宋_GB2312" w:cs="仿宋_GB2312"/>
          <w:kern w:val="0"/>
          <w:sz w:val="32"/>
          <w:szCs w:val="32"/>
        </w:rPr>
        <w:t>，不含</w:t>
      </w:r>
      <w:r>
        <w:rPr>
          <w:rFonts w:ascii="仿宋_GB2312" w:eastAsia="仿宋_GB2312" w:hAnsi="仿宋_GB2312" w:cs="仿宋_GB2312" w:hint="eastAsia"/>
          <w:kern w:val="0"/>
          <w:sz w:val="32"/>
          <w:szCs w:val="32"/>
        </w:rPr>
        <w:t>选择其他方式借用外债（包括“投注差”模式、</w:t>
      </w:r>
      <w:r>
        <w:rPr>
          <w:rFonts w:ascii="Times New Roman" w:eastAsia="仿宋_GB2312" w:hAnsi="Times New Roman" w:cs="Times New Roman"/>
          <w:bCs/>
          <w:sz w:val="32"/>
          <w:szCs w:val="32"/>
        </w:rPr>
        <w:t>跨境融资便利化业务试点、融资租赁母子公司外债额度共享试点</w:t>
      </w:r>
      <w:r>
        <w:rPr>
          <w:rFonts w:ascii="Times New Roman" w:eastAsia="仿宋_GB2312" w:hAnsi="Times New Roman" w:cs="Times New Roman" w:hint="eastAsia"/>
          <w:bCs/>
          <w:sz w:val="32"/>
          <w:szCs w:val="32"/>
        </w:rPr>
        <w:t>等）的非金</w:t>
      </w:r>
      <w:r>
        <w:rPr>
          <w:rFonts w:ascii="仿宋_GB2312" w:eastAsia="仿宋_GB2312" w:hAnsi="仿宋_GB2312" w:cs="仿宋_GB2312" w:hint="eastAsia"/>
          <w:kern w:val="0"/>
          <w:sz w:val="32"/>
          <w:szCs w:val="32"/>
        </w:rPr>
        <w:t>融企业债务人</w:t>
      </w:r>
      <w:r>
        <w:rPr>
          <w:rFonts w:ascii="仿宋_GB2312" w:eastAsia="仿宋_GB2312" w:hAnsi="仿宋_GB2312" w:cs="仿宋_GB2312"/>
          <w:kern w:val="0"/>
          <w:sz w:val="32"/>
          <w:szCs w:val="32"/>
        </w:rPr>
        <w:t>。</w:t>
      </w:r>
    </w:p>
    <w:p w:rsidR="009A782C" w:rsidRDefault="00C844CB">
      <w:pPr>
        <w:pStyle w:val="BodyTextFirstIndent21"/>
        <w:adjustRightInd w:val="0"/>
        <w:snapToGrid w:val="0"/>
        <w:spacing w:line="324" w:lineRule="auto"/>
        <w:ind w:leftChars="0" w:left="0" w:right="0" w:firstLineChars="200" w:firstLine="640"/>
        <w:rPr>
          <w:rFonts w:ascii="仿宋_GB2312" w:eastAsia="仿宋_GB2312" w:hAnsi="仿宋_GB2312" w:cs="仿宋_GB2312"/>
          <w:kern w:val="0"/>
          <w:sz w:val="32"/>
          <w:szCs w:val="32"/>
        </w:rPr>
      </w:pPr>
      <w:r>
        <w:rPr>
          <w:rFonts w:ascii="仿宋_GB2312" w:eastAsia="仿宋_GB2312" w:hAnsi="仿宋_GB2312" w:cs="仿宋_GB2312"/>
          <w:bCs/>
          <w:sz w:val="32"/>
          <w:szCs w:val="32"/>
        </w:rPr>
        <w:t>第三条</w:t>
      </w:r>
      <w:r>
        <w:rPr>
          <w:rFonts w:ascii="仿宋_GB2312" w:eastAsia="仿宋_GB2312" w:hAnsi="仿宋_GB2312" w:cs="仿宋_GB2312" w:hint="eastAsia"/>
          <w:kern w:val="0"/>
          <w:sz w:val="32"/>
          <w:szCs w:val="32"/>
        </w:rPr>
        <w:t>非金融企业债务人跨境融资风险加权余额不得超过其跨境融资风险加权余额上限。跨境融资风险加权余额与跨境融资风险加权余额上限，按照《中国人民银行关于全口径跨境融资宏观审慎管理有关事宜的通知》（银发〔</w:t>
      </w:r>
      <w:r>
        <w:rPr>
          <w:rFonts w:ascii="仿宋_GB2312" w:eastAsia="仿宋_GB2312" w:hAnsi="仿宋_GB2312" w:cs="仿宋_GB2312" w:hint="eastAsia"/>
          <w:kern w:val="0"/>
          <w:sz w:val="32"/>
          <w:szCs w:val="32"/>
        </w:rPr>
        <w:t>2017</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9</w:t>
      </w:r>
      <w:r>
        <w:rPr>
          <w:rFonts w:ascii="仿宋_GB2312" w:eastAsia="仿宋_GB2312" w:hAnsi="仿宋_GB2312" w:cs="仿宋_GB2312" w:hint="eastAsia"/>
          <w:kern w:val="0"/>
          <w:sz w:val="32"/>
          <w:szCs w:val="32"/>
        </w:rPr>
        <w:t>号）规定的计算公式计算，宏观审慎调节参数等指标按现行文件规定执行。</w:t>
      </w:r>
    </w:p>
    <w:p w:rsidR="009A782C" w:rsidRDefault="00C844CB">
      <w:pPr>
        <w:pStyle w:val="BodyTextFirstIndent21"/>
        <w:adjustRightInd w:val="0"/>
        <w:snapToGrid w:val="0"/>
        <w:spacing w:line="324" w:lineRule="auto"/>
        <w:ind w:leftChars="0" w:left="0" w:right="0" w:firstLineChars="200" w:firstLine="640"/>
        <w:rPr>
          <w:sz w:val="32"/>
          <w:szCs w:val="32"/>
        </w:rPr>
      </w:pPr>
      <w:r>
        <w:rPr>
          <w:rFonts w:eastAsia="仿宋_GB2312"/>
          <w:bCs/>
          <w:sz w:val="32"/>
          <w:szCs w:val="32"/>
        </w:rPr>
        <w:t>第四条</w:t>
      </w:r>
      <w:r>
        <w:rPr>
          <w:rFonts w:eastAsia="仿宋_GB2312"/>
          <w:bCs/>
          <w:sz w:val="32"/>
          <w:szCs w:val="32"/>
        </w:rPr>
        <w:t xml:space="preserve"> </w:t>
      </w:r>
      <w:r>
        <w:rPr>
          <w:rFonts w:eastAsia="仿宋_GB2312"/>
          <w:bCs/>
          <w:sz w:val="32"/>
          <w:szCs w:val="32"/>
        </w:rPr>
        <w:t>注册</w:t>
      </w:r>
      <w:r>
        <w:rPr>
          <w:rFonts w:eastAsia="仿宋_GB2312" w:hint="eastAsia"/>
          <w:bCs/>
          <w:sz w:val="32"/>
          <w:szCs w:val="32"/>
        </w:rPr>
        <w:t>在国家外汇管理局雄安新区</w:t>
      </w:r>
      <w:r>
        <w:rPr>
          <w:rFonts w:eastAsia="仿宋_GB2312"/>
          <w:bCs/>
          <w:sz w:val="32"/>
          <w:szCs w:val="32"/>
        </w:rPr>
        <w:t>分局</w:t>
      </w:r>
      <w:r>
        <w:rPr>
          <w:rFonts w:eastAsia="仿宋_GB2312" w:hint="eastAsia"/>
          <w:bCs/>
          <w:sz w:val="32"/>
          <w:szCs w:val="32"/>
        </w:rPr>
        <w:t>（以下简称雄安新区分局）</w:t>
      </w:r>
      <w:r>
        <w:rPr>
          <w:rFonts w:eastAsia="仿宋_GB2312"/>
          <w:bCs/>
          <w:sz w:val="32"/>
          <w:szCs w:val="32"/>
        </w:rPr>
        <w:t>内</w:t>
      </w:r>
      <w:r>
        <w:rPr>
          <w:rFonts w:eastAsia="仿宋_GB2312" w:hint="eastAsia"/>
          <w:bCs/>
          <w:sz w:val="32"/>
          <w:szCs w:val="32"/>
        </w:rPr>
        <w:t>的</w:t>
      </w:r>
      <w:r>
        <w:rPr>
          <w:rFonts w:eastAsia="仿宋_GB2312"/>
          <w:bCs/>
          <w:sz w:val="32"/>
          <w:szCs w:val="32"/>
        </w:rPr>
        <w:t>非金融企业债务人可</w:t>
      </w:r>
      <w:r>
        <w:rPr>
          <w:rFonts w:eastAsia="仿宋_GB2312" w:hint="eastAsia"/>
          <w:bCs/>
          <w:sz w:val="32"/>
          <w:szCs w:val="32"/>
        </w:rPr>
        <w:t>在外债提款前</w:t>
      </w:r>
      <w:r>
        <w:rPr>
          <w:rFonts w:eastAsia="仿宋_GB2312"/>
          <w:bCs/>
          <w:sz w:val="32"/>
          <w:szCs w:val="32"/>
        </w:rPr>
        <w:t>持以下材料</w:t>
      </w:r>
      <w:r>
        <w:rPr>
          <w:rFonts w:eastAsia="仿宋_GB2312" w:hint="eastAsia"/>
          <w:bCs/>
          <w:sz w:val="32"/>
          <w:szCs w:val="32"/>
        </w:rPr>
        <w:t>到雄安新区</w:t>
      </w:r>
      <w:r>
        <w:rPr>
          <w:rFonts w:eastAsia="仿宋_GB2312"/>
          <w:bCs/>
          <w:sz w:val="32"/>
          <w:szCs w:val="32"/>
        </w:rPr>
        <w:t>分局</w:t>
      </w:r>
      <w:r>
        <w:rPr>
          <w:rFonts w:eastAsia="仿宋_GB2312" w:hint="eastAsia"/>
          <w:bCs/>
          <w:sz w:val="32"/>
          <w:szCs w:val="32"/>
        </w:rPr>
        <w:t>内银行办理外债签约</w:t>
      </w:r>
      <w:r>
        <w:rPr>
          <w:rFonts w:eastAsia="仿宋_GB2312"/>
          <w:bCs/>
          <w:sz w:val="32"/>
          <w:szCs w:val="32"/>
        </w:rPr>
        <w:t>（变更）</w:t>
      </w:r>
      <w:r>
        <w:rPr>
          <w:rFonts w:ascii="仿宋_GB2312" w:eastAsia="仿宋_GB2312" w:hAnsi="仿宋_GB2312" w:cs="仿宋_GB2312" w:hint="eastAsia"/>
          <w:kern w:val="0"/>
          <w:sz w:val="32"/>
          <w:szCs w:val="32"/>
        </w:rPr>
        <w:t>登记手续</w:t>
      </w:r>
      <w:r>
        <w:rPr>
          <w:rFonts w:ascii="仿宋_GB2312" w:eastAsia="仿宋_GB2312" w:hAnsi="仿宋_GB2312" w:cs="仿宋_GB2312"/>
          <w:kern w:val="0"/>
          <w:sz w:val="32"/>
          <w:szCs w:val="32"/>
        </w:rPr>
        <w:t>：</w:t>
      </w:r>
    </w:p>
    <w:p w:rsidR="009A782C" w:rsidRDefault="00C844CB">
      <w:pPr>
        <w:adjustRightInd w:val="0"/>
        <w:snapToGrid w:val="0"/>
        <w:spacing w:line="324" w:lineRule="auto"/>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（一）《非金融企业外债登记申请表（宏观审慎模式）》（见</w:t>
      </w:r>
      <w:r>
        <w:rPr>
          <w:rFonts w:ascii="仿宋_GB2312" w:eastAsia="仿宋_GB2312" w:hAnsi="仿宋_GB2312" w:cs="仿宋_GB2312" w:hint="eastAsia"/>
          <w:kern w:val="0"/>
          <w:sz w:val="32"/>
          <w:szCs w:val="32"/>
        </w:rPr>
        <w:lastRenderedPageBreak/>
        <w:t>附，必要时附书面说明）。</w:t>
      </w:r>
    </w:p>
    <w:p w:rsidR="009A782C" w:rsidRDefault="00C844CB">
      <w:pPr>
        <w:adjustRightInd w:val="0"/>
        <w:snapToGrid w:val="0"/>
        <w:spacing w:line="324" w:lineRule="auto"/>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（二）加盖公章的外债合同或主要条款复印件（境外发行债券的，需提供认购协议或全球债券证书等证明材料）。</w:t>
      </w:r>
    </w:p>
    <w:p w:rsidR="009A782C" w:rsidRDefault="00C844CB">
      <w:pPr>
        <w:adjustRightInd w:val="0"/>
        <w:snapToGrid w:val="0"/>
        <w:spacing w:line="324" w:lineRule="auto"/>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（三）上年度或最近一期经审计的财务报告。</w:t>
      </w:r>
    </w:p>
    <w:p w:rsidR="009A782C" w:rsidRDefault="00C844CB">
      <w:pPr>
        <w:adjustRightInd w:val="0"/>
        <w:snapToGrid w:val="0"/>
        <w:spacing w:line="324" w:lineRule="auto"/>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（四）因当事各方、币种、金额、期限、利率、借款用途和适用法律等外债合同主要条款发生变化，需办理外债变更登记的，还需提供原《境内机构外债签约情况表》，并出示相关业务登记凭证。</w:t>
      </w:r>
    </w:p>
    <w:p w:rsidR="009A782C" w:rsidRDefault="00C844CB">
      <w:pPr>
        <w:adjustRightInd w:val="0"/>
        <w:snapToGrid w:val="0"/>
        <w:spacing w:line="324" w:lineRule="auto"/>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kern w:val="0"/>
          <w:sz w:val="32"/>
          <w:szCs w:val="32"/>
        </w:rPr>
        <w:t>第五条</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银行办理外债登记前，</w:t>
      </w:r>
      <w:r>
        <w:rPr>
          <w:rFonts w:ascii="仿宋_GB2312" w:eastAsia="仿宋_GB2312" w:hAnsi="仿宋_GB2312" w:cs="仿宋_GB2312"/>
          <w:kern w:val="0"/>
          <w:sz w:val="32"/>
          <w:szCs w:val="32"/>
        </w:rPr>
        <w:t>应勤勉尽责，遵循</w:t>
      </w:r>
      <w:r>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了解客户</w:t>
      </w:r>
      <w:r>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原则，审核</w:t>
      </w:r>
      <w:r>
        <w:rPr>
          <w:rFonts w:ascii="仿宋_GB2312" w:eastAsia="仿宋_GB2312" w:hAnsi="仿宋_GB2312" w:cs="仿宋_GB2312" w:hint="eastAsia"/>
          <w:kern w:val="0"/>
          <w:sz w:val="32"/>
          <w:szCs w:val="32"/>
        </w:rPr>
        <w:t>非金融企业债务人主体资格，不得为房地</w:t>
      </w:r>
      <w:r>
        <w:rPr>
          <w:rFonts w:ascii="仿宋_GB2312" w:eastAsia="仿宋_GB2312" w:hAnsi="仿宋_GB2312" w:cs="仿宋_GB2312" w:hint="eastAsia"/>
          <w:kern w:val="0"/>
          <w:sz w:val="32"/>
          <w:szCs w:val="32"/>
        </w:rPr>
        <w:t>产企业</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地方政府融资平台</w:t>
      </w:r>
      <w:r>
        <w:rPr>
          <w:rFonts w:ascii="仿宋_GB2312" w:eastAsia="仿宋_GB2312" w:hAnsi="仿宋_GB2312" w:cs="仿宋_GB2312"/>
          <w:kern w:val="0"/>
          <w:sz w:val="32"/>
          <w:szCs w:val="32"/>
        </w:rPr>
        <w:t>等</w:t>
      </w:r>
      <w:r>
        <w:rPr>
          <w:rFonts w:ascii="仿宋_GB2312" w:eastAsia="仿宋_GB2312" w:hAnsi="仿宋_GB2312" w:cs="仿宋_GB2312" w:hint="eastAsia"/>
          <w:kern w:val="0"/>
          <w:sz w:val="32"/>
          <w:szCs w:val="32"/>
        </w:rPr>
        <w:t>办理外债登记。</w:t>
      </w:r>
      <w:r>
        <w:rPr>
          <w:rFonts w:ascii="仿宋_GB2312" w:eastAsia="仿宋_GB2312" w:hAnsi="仿宋_GB2312" w:cs="仿宋_GB2312"/>
          <w:kern w:val="0"/>
          <w:sz w:val="32"/>
          <w:szCs w:val="32"/>
        </w:rPr>
        <w:t>同时</w:t>
      </w:r>
      <w:r>
        <w:rPr>
          <w:rFonts w:ascii="仿宋_GB2312" w:eastAsia="仿宋_GB2312" w:hAnsi="仿宋_GB2312" w:cs="仿宋_GB2312" w:hint="eastAsia"/>
          <w:kern w:val="0"/>
          <w:sz w:val="32"/>
          <w:szCs w:val="32"/>
        </w:rPr>
        <w:t>核实非金融企业债务人实际情况、申请信息与系统信息是否一致，不一致的需核实原因，待相关信息一致后再办理新的登记业务。</w:t>
      </w:r>
    </w:p>
    <w:p w:rsidR="009A782C" w:rsidRDefault="00C844CB">
      <w:pPr>
        <w:adjustRightInd w:val="0"/>
        <w:snapToGrid w:val="0"/>
        <w:spacing w:line="324" w:lineRule="auto"/>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kern w:val="0"/>
          <w:sz w:val="32"/>
          <w:szCs w:val="32"/>
        </w:rPr>
        <w:t>银行为非金融企业债务人办理变更登记涉及提前还款的，须重新区分期限风险转换因子计算风险加权余额。</w:t>
      </w:r>
    </w:p>
    <w:p w:rsidR="009A782C" w:rsidRDefault="00C844CB">
      <w:pPr>
        <w:adjustRightInd w:val="0"/>
        <w:snapToGrid w:val="0"/>
        <w:spacing w:line="324" w:lineRule="auto"/>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kern w:val="0"/>
          <w:sz w:val="32"/>
          <w:szCs w:val="32"/>
        </w:rPr>
        <w:t>第六条</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银行应通过资本项目信息系统办理外债签约登记，打印《境内机构外债签约情况表》《业务登记凭证》并加盖银行业务印章后交给申请人。</w:t>
      </w:r>
    </w:p>
    <w:p w:rsidR="009A782C" w:rsidRDefault="00C844CB">
      <w:pPr>
        <w:adjustRightInd w:val="0"/>
        <w:snapToGrid w:val="0"/>
        <w:spacing w:line="324" w:lineRule="auto"/>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kern w:val="0"/>
          <w:sz w:val="32"/>
          <w:szCs w:val="32"/>
        </w:rPr>
        <w:t>第七条</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对于境内非金融企业债务人向离岸银行借用的离岸贷款，视同外债管理，</w:t>
      </w:r>
      <w:r>
        <w:rPr>
          <w:rFonts w:ascii="仿宋_GB2312" w:eastAsia="仿宋_GB2312" w:hAnsi="仿宋_GB2312" w:cs="仿宋_GB2312" w:hint="eastAsia"/>
          <w:kern w:val="0"/>
          <w:sz w:val="32"/>
          <w:szCs w:val="32"/>
        </w:rPr>
        <w:t>占用境内借款人的跨境融资风险加权余额上限。</w:t>
      </w:r>
    </w:p>
    <w:p w:rsidR="009A782C" w:rsidRDefault="00C844CB">
      <w:pPr>
        <w:pStyle w:val="BodyTextFirstIndent21"/>
        <w:adjustRightInd w:val="0"/>
        <w:snapToGrid w:val="0"/>
        <w:spacing w:line="324" w:lineRule="auto"/>
        <w:ind w:leftChars="0" w:left="0" w:right="0"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非金融企</w:t>
      </w:r>
      <w:r>
        <w:rPr>
          <w:rFonts w:ascii="仿宋_GB2312" w:eastAsia="仿宋_GB2312" w:hAnsi="仿宋_GB2312" w:cs="仿宋_GB2312"/>
          <w:kern w:val="0"/>
          <w:sz w:val="32"/>
          <w:szCs w:val="32"/>
        </w:rPr>
        <w:t>业债务人向</w:t>
      </w:r>
      <w:bookmarkStart w:id="0" w:name="_GoBack"/>
      <w:bookmarkEnd w:id="0"/>
      <w:r>
        <w:rPr>
          <w:rFonts w:ascii="仿宋_GB2312" w:eastAsia="仿宋_GB2312" w:hAnsi="仿宋_GB2312" w:cs="仿宋_GB2312"/>
          <w:kern w:val="0"/>
          <w:sz w:val="32"/>
          <w:szCs w:val="32"/>
        </w:rPr>
        <w:t>离岸银行借用离岸贷款的，债务人在所在地银行办理外债签约登记后，仍需在外债余额发生变动起</w:t>
      </w:r>
      <w:r>
        <w:rPr>
          <w:rFonts w:ascii="仿宋_GB2312" w:eastAsia="仿宋_GB2312" w:hAnsi="仿宋_GB2312" w:cs="仿宋_GB2312"/>
          <w:kern w:val="0"/>
          <w:sz w:val="32"/>
          <w:szCs w:val="32"/>
        </w:rPr>
        <w:t>15</w:t>
      </w:r>
      <w:r>
        <w:rPr>
          <w:rFonts w:ascii="仿宋_GB2312" w:eastAsia="仿宋_GB2312" w:hAnsi="仿宋_GB2312" w:cs="仿宋_GB2312"/>
          <w:kern w:val="0"/>
          <w:sz w:val="32"/>
          <w:szCs w:val="32"/>
        </w:rPr>
        <w:t>个工作日内到</w:t>
      </w:r>
      <w:r>
        <w:rPr>
          <w:rFonts w:eastAsia="仿宋_GB2312" w:hint="eastAsia"/>
          <w:bCs/>
          <w:sz w:val="32"/>
          <w:szCs w:val="32"/>
        </w:rPr>
        <w:t>雄安新区</w:t>
      </w:r>
      <w:r>
        <w:rPr>
          <w:rFonts w:eastAsia="仿宋_GB2312"/>
          <w:bCs/>
          <w:sz w:val="32"/>
          <w:szCs w:val="32"/>
        </w:rPr>
        <w:t>分局</w:t>
      </w:r>
      <w:r>
        <w:rPr>
          <w:rFonts w:ascii="仿宋_GB2312" w:eastAsia="仿宋_GB2312" w:hAnsi="仿宋_GB2312" w:cs="仿宋_GB2312"/>
          <w:kern w:val="0"/>
          <w:sz w:val="32"/>
          <w:szCs w:val="32"/>
        </w:rPr>
        <w:t>办理非资金划转类提款</w:t>
      </w:r>
      <w:r>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还本付息备</w:t>
      </w:r>
      <w:r>
        <w:rPr>
          <w:rFonts w:ascii="仿宋_GB2312" w:eastAsia="仿宋_GB2312" w:hAnsi="仿宋_GB2312" w:cs="仿宋_GB2312"/>
          <w:kern w:val="0"/>
          <w:sz w:val="32"/>
          <w:szCs w:val="32"/>
        </w:rPr>
        <w:lastRenderedPageBreak/>
        <w:t>案。</w:t>
      </w:r>
    </w:p>
    <w:p w:rsidR="009A782C" w:rsidRDefault="00C844CB">
      <w:pPr>
        <w:adjustRightInd w:val="0"/>
        <w:snapToGrid w:val="0"/>
        <w:spacing w:line="324" w:lineRule="auto"/>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kern w:val="0"/>
          <w:sz w:val="32"/>
          <w:szCs w:val="32"/>
        </w:rPr>
        <w:t>第八条</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除另有规定外，境内非金融企业涉及真实跨境贸易产生的贸易信贷（包括应付和预收）和从境外金融机构获取的贸易融资，不纳入跨境融资风险加权余额计算，无需按照本实施细则办理外债登记。</w:t>
      </w:r>
    </w:p>
    <w:p w:rsidR="009A782C" w:rsidRDefault="00C844CB">
      <w:pPr>
        <w:adjustRightInd w:val="0"/>
        <w:snapToGrid w:val="0"/>
        <w:spacing w:line="324" w:lineRule="auto"/>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kern w:val="0"/>
          <w:sz w:val="32"/>
          <w:szCs w:val="32"/>
        </w:rPr>
        <w:t>第九条</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非金融企业债务人借用外债，原则上应将所涉资金调回境内使用。</w:t>
      </w:r>
    </w:p>
    <w:p w:rsidR="009A782C" w:rsidRDefault="00C844CB">
      <w:pPr>
        <w:adjustRightInd w:val="0"/>
        <w:snapToGrid w:val="0"/>
        <w:spacing w:line="324" w:lineRule="auto"/>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sz w:val="32"/>
          <w:szCs w:val="32"/>
        </w:rPr>
        <w:t>第十条</w:t>
      </w:r>
      <w:r>
        <w:rPr>
          <w:rFonts w:ascii="仿宋_GB2312" w:eastAsia="仿宋_GB2312" w:hAnsi="仿宋_GB2312" w:cs="仿宋_GB2312"/>
          <w:sz w:val="32"/>
          <w:szCs w:val="32"/>
        </w:rPr>
        <w:t xml:space="preserve"> </w:t>
      </w:r>
      <w:r>
        <w:rPr>
          <w:rFonts w:ascii="仿宋_GB2312" w:eastAsia="仿宋_GB2312" w:hAnsi="仿宋_GB2312" w:cs="仿宋_GB2312" w:hint="eastAsia"/>
          <w:kern w:val="0"/>
          <w:sz w:val="32"/>
          <w:szCs w:val="32"/>
        </w:rPr>
        <w:t>非金融企业债务人可自行与境内银行等金融机构或境外债权银行签订以锁定外债还本付息风险为目的，与汇率或利率相关的保值交易合同，并办理交割。签订保值交易合同、办理保值交易合同交割时，非金融企业债务人的交易对手方、办理交割款项汇出的银行等，应当确认该笔交易具备合法、清晰的实盘背景。</w:t>
      </w:r>
    </w:p>
    <w:p w:rsidR="009A782C" w:rsidRDefault="00C844CB">
      <w:pPr>
        <w:adjustRightInd w:val="0"/>
        <w:snapToGrid w:val="0"/>
        <w:spacing w:line="324" w:lineRule="auto"/>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（一）非金融企业债务人获得的保值交易外汇收入，可直接到银行办理结汇或存入外债专用账户保留（国际收支申报时，无需填写相应外债业务编号）。</w:t>
      </w:r>
    </w:p>
    <w:p w:rsidR="009A782C" w:rsidRDefault="00C844CB">
      <w:pPr>
        <w:adjustRightInd w:val="0"/>
        <w:snapToGrid w:val="0"/>
        <w:spacing w:line="324" w:lineRule="auto"/>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（二）非金融企业债务人可直接到银行购汇或使用自有外汇办理交割。</w:t>
      </w:r>
    </w:p>
    <w:p w:rsidR="009A782C" w:rsidRDefault="00C844CB">
      <w:pPr>
        <w:adjustRightInd w:val="0"/>
        <w:snapToGrid w:val="0"/>
        <w:spacing w:line="324" w:lineRule="auto"/>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kern w:val="0"/>
          <w:sz w:val="32"/>
          <w:szCs w:val="32"/>
        </w:rPr>
        <w:t>第十一条</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非金融企业债务人购汇偿还外债，应遵循实需原则。</w:t>
      </w:r>
    </w:p>
    <w:p w:rsidR="009A782C" w:rsidRDefault="00C844CB">
      <w:pPr>
        <w:adjustRightInd w:val="0"/>
        <w:snapToGrid w:val="0"/>
        <w:spacing w:line="324" w:lineRule="auto"/>
        <w:ind w:firstLineChars="200" w:firstLine="640"/>
        <w:contextualSpacing/>
        <w:rPr>
          <w:rFonts w:eastAsia="仿宋_GB2312"/>
          <w:bCs/>
          <w:sz w:val="32"/>
          <w:szCs w:val="32"/>
        </w:rPr>
      </w:pPr>
      <w:r>
        <w:rPr>
          <w:rFonts w:eastAsia="仿宋_GB2312"/>
          <w:bCs/>
          <w:sz w:val="32"/>
          <w:szCs w:val="32"/>
        </w:rPr>
        <w:t>第十二条</w:t>
      </w:r>
      <w:r>
        <w:rPr>
          <w:rFonts w:eastAsia="仿宋_GB2312"/>
          <w:bCs/>
          <w:sz w:val="32"/>
          <w:szCs w:val="32"/>
        </w:rPr>
        <w:t xml:space="preserve"> </w:t>
      </w:r>
      <w:r>
        <w:rPr>
          <w:rFonts w:eastAsia="仿宋_GB2312" w:hint="eastAsia"/>
          <w:bCs/>
          <w:sz w:val="32"/>
          <w:szCs w:val="32"/>
        </w:rPr>
        <w:t>雄安新区</w:t>
      </w:r>
      <w:r>
        <w:rPr>
          <w:rFonts w:eastAsia="仿宋_GB2312"/>
          <w:bCs/>
          <w:sz w:val="32"/>
          <w:szCs w:val="32"/>
        </w:rPr>
        <w:t>分局负责对辖</w:t>
      </w:r>
      <w:r>
        <w:rPr>
          <w:rFonts w:eastAsia="仿宋_GB2312" w:hint="eastAsia"/>
          <w:bCs/>
          <w:sz w:val="32"/>
          <w:szCs w:val="32"/>
        </w:rPr>
        <w:t>区</w:t>
      </w:r>
      <w:r>
        <w:rPr>
          <w:rFonts w:eastAsia="仿宋_GB2312"/>
          <w:bCs/>
          <w:sz w:val="32"/>
          <w:szCs w:val="32"/>
        </w:rPr>
        <w:t>内银行办理的外债签约（变更）登记进行统计监测和业务核查。如有疑问或发生</w:t>
      </w:r>
      <w:r>
        <w:rPr>
          <w:rFonts w:eastAsia="仿宋_GB2312" w:hint="eastAsia"/>
          <w:bCs/>
          <w:sz w:val="32"/>
          <w:szCs w:val="32"/>
        </w:rPr>
        <w:t>重大事项和异常情况的，银行应及时向雄安新区</w:t>
      </w:r>
      <w:r>
        <w:rPr>
          <w:rFonts w:eastAsia="仿宋_GB2312"/>
          <w:bCs/>
          <w:sz w:val="32"/>
          <w:szCs w:val="32"/>
        </w:rPr>
        <w:t>分局</w:t>
      </w:r>
      <w:r>
        <w:rPr>
          <w:rFonts w:eastAsia="仿宋_GB2312" w:hint="eastAsia"/>
          <w:bCs/>
          <w:sz w:val="32"/>
          <w:szCs w:val="32"/>
        </w:rPr>
        <w:t>报告。</w:t>
      </w:r>
    </w:p>
    <w:p w:rsidR="009A782C" w:rsidRDefault="00C844CB">
      <w:pPr>
        <w:adjustRightInd w:val="0"/>
        <w:snapToGrid w:val="0"/>
        <w:ind w:firstLineChars="200" w:firstLine="640"/>
        <w:rPr>
          <w:rFonts w:eastAsia="仿宋_GB2312"/>
          <w:bCs/>
          <w:sz w:val="32"/>
          <w:szCs w:val="32"/>
        </w:rPr>
      </w:pPr>
      <w:r>
        <w:rPr>
          <w:rFonts w:eastAsia="仿宋_GB2312"/>
          <w:bCs/>
          <w:sz w:val="32"/>
          <w:szCs w:val="32"/>
        </w:rPr>
        <w:t>第十</w:t>
      </w:r>
      <w:r>
        <w:rPr>
          <w:rFonts w:eastAsia="仿宋_GB2312" w:hint="eastAsia"/>
          <w:bCs/>
          <w:sz w:val="32"/>
          <w:szCs w:val="32"/>
        </w:rPr>
        <w:t>三</w:t>
      </w:r>
      <w:r>
        <w:rPr>
          <w:rFonts w:eastAsia="仿宋_GB2312"/>
          <w:bCs/>
          <w:sz w:val="32"/>
          <w:szCs w:val="32"/>
        </w:rPr>
        <w:t>条</w:t>
      </w:r>
      <w:r>
        <w:rPr>
          <w:rFonts w:eastAsia="仿宋_GB2312"/>
          <w:bCs/>
          <w:sz w:val="32"/>
          <w:szCs w:val="32"/>
        </w:rPr>
        <w:t xml:space="preserve"> </w:t>
      </w:r>
      <w:r>
        <w:rPr>
          <w:rFonts w:eastAsia="仿宋_GB2312" w:hint="eastAsia"/>
          <w:bCs/>
          <w:sz w:val="32"/>
          <w:szCs w:val="32"/>
        </w:rPr>
        <w:t>其他未尽事宜</w:t>
      </w:r>
      <w:r>
        <w:rPr>
          <w:rFonts w:eastAsia="仿宋_GB2312"/>
          <w:bCs/>
          <w:sz w:val="32"/>
          <w:szCs w:val="32"/>
        </w:rPr>
        <w:t>，适用现行外汇管理规定。</w:t>
      </w:r>
    </w:p>
    <w:p w:rsidR="009A782C" w:rsidRDefault="009A782C">
      <w:pPr>
        <w:adjustRightInd w:val="0"/>
        <w:snapToGrid w:val="0"/>
        <w:ind w:firstLineChars="200" w:firstLine="640"/>
        <w:rPr>
          <w:rFonts w:eastAsia="仿宋_GB2312"/>
          <w:bCs/>
          <w:sz w:val="32"/>
          <w:szCs w:val="32"/>
        </w:rPr>
      </w:pPr>
    </w:p>
    <w:p w:rsidR="009A782C" w:rsidRDefault="00C844CB">
      <w:pPr>
        <w:adjustRightInd w:val="0"/>
        <w:snapToGrid w:val="0"/>
        <w:spacing w:line="324" w:lineRule="auto"/>
        <w:ind w:firstLineChars="200" w:firstLine="640"/>
        <w:contextualSpacing/>
        <w:rPr>
          <w:rFonts w:ascii="仿宋_GB2312" w:eastAsia="仿宋_GB2312" w:hAnsi="仿宋_GB2312" w:cs="仿宋_GB2312"/>
          <w:kern w:val="0"/>
          <w:sz w:val="32"/>
          <w:szCs w:val="32"/>
        </w:rPr>
      </w:pPr>
      <w:r>
        <w:rPr>
          <w:rFonts w:eastAsia="仿宋_GB2312" w:hint="eastAsia"/>
          <w:bCs/>
          <w:sz w:val="32"/>
          <w:szCs w:val="32"/>
        </w:rPr>
        <w:t>附：非金融企业外债登记申请表（宏观审慎模式）</w:t>
      </w:r>
    </w:p>
    <w:p w:rsidR="009A782C" w:rsidRDefault="009A782C">
      <w:pPr>
        <w:ind w:firstLineChars="200" w:firstLine="640"/>
        <w:contextualSpacing/>
        <w:rPr>
          <w:rFonts w:ascii="Arial" w:eastAsia="仿宋_GB2312" w:hAnsi="Arial" w:cs="Arial"/>
          <w:kern w:val="0"/>
          <w:sz w:val="32"/>
          <w:szCs w:val="32"/>
        </w:rPr>
        <w:sectPr w:rsidR="009A782C">
          <w:footerReference w:type="default" r:id="rId8"/>
          <w:pgSz w:w="11906" w:h="16838"/>
          <w:pgMar w:top="1701" w:right="1474" w:bottom="1474" w:left="1474" w:header="851" w:footer="992" w:gutter="0"/>
          <w:cols w:space="720"/>
          <w:docGrid w:type="lines" w:linePitch="317"/>
        </w:sectPr>
      </w:pPr>
    </w:p>
    <w:p w:rsidR="009A782C" w:rsidRDefault="00C844CB">
      <w:pPr>
        <w:widowControl/>
        <w:jc w:val="left"/>
        <w:rPr>
          <w:rFonts w:ascii="黑体" w:eastAsia="黑体" w:hAnsi="黑体"/>
          <w:kern w:val="0"/>
          <w:sz w:val="32"/>
          <w:szCs w:val="32"/>
        </w:rPr>
      </w:pPr>
      <w:r>
        <w:rPr>
          <w:rFonts w:ascii="黑体" w:eastAsia="黑体" w:hAnsi="黑体" w:hint="eastAsia"/>
          <w:kern w:val="0"/>
          <w:sz w:val="32"/>
          <w:szCs w:val="32"/>
        </w:rPr>
        <w:lastRenderedPageBreak/>
        <w:t>附</w:t>
      </w:r>
    </w:p>
    <w:p w:rsidR="009A782C" w:rsidRDefault="009A782C">
      <w:pPr>
        <w:widowControl/>
        <w:jc w:val="left"/>
        <w:rPr>
          <w:rFonts w:ascii="黑体" w:eastAsia="黑体" w:hAnsi="黑体"/>
          <w:b/>
          <w:sz w:val="32"/>
          <w:szCs w:val="32"/>
        </w:rPr>
      </w:pPr>
    </w:p>
    <w:p w:rsidR="009A782C" w:rsidRDefault="00C844CB">
      <w:pPr>
        <w:widowControl/>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非金融企业外债登记申请表（宏观审慎模式）</w:t>
      </w:r>
    </w:p>
    <w:p w:rsidR="009A782C" w:rsidRDefault="009A782C">
      <w:pPr>
        <w:widowControl/>
        <w:jc w:val="center"/>
        <w:rPr>
          <w:rFonts w:ascii="方正小标宋简体" w:eastAsia="方正小标宋简体" w:hAnsi="方正小标宋简体" w:cs="方正小标宋简体"/>
          <w:bCs/>
          <w:kern w:val="0"/>
          <w:sz w:val="36"/>
          <w:szCs w:val="36"/>
        </w:rPr>
      </w:pPr>
    </w:p>
    <w:tbl>
      <w:tblPr>
        <w:tblW w:w="84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1"/>
        <w:gridCol w:w="1108"/>
        <w:gridCol w:w="28"/>
        <w:gridCol w:w="420"/>
        <w:gridCol w:w="948"/>
        <w:gridCol w:w="629"/>
        <w:gridCol w:w="58"/>
        <w:gridCol w:w="75"/>
        <w:gridCol w:w="15"/>
        <w:gridCol w:w="15"/>
        <w:gridCol w:w="100"/>
        <w:gridCol w:w="948"/>
        <w:gridCol w:w="619"/>
        <w:gridCol w:w="13"/>
        <w:gridCol w:w="11"/>
        <w:gridCol w:w="65"/>
        <w:gridCol w:w="25"/>
        <w:gridCol w:w="900"/>
        <w:gridCol w:w="1794"/>
      </w:tblGrid>
      <w:tr w:rsidR="009A782C">
        <w:trPr>
          <w:cantSplit/>
          <w:trHeight w:val="447"/>
          <w:jc w:val="center"/>
        </w:trPr>
        <w:tc>
          <w:tcPr>
            <w:tcW w:w="8472" w:type="dxa"/>
            <w:gridSpan w:val="19"/>
            <w:vAlign w:val="center"/>
          </w:tcPr>
          <w:p w:rsidR="009A782C" w:rsidRDefault="00C844CB">
            <w:pPr>
              <w:spacing w:line="320" w:lineRule="exact"/>
              <w:jc w:val="left"/>
              <w:rPr>
                <w:rFonts w:ascii="宋体" w:hAnsi="宋体"/>
                <w:b/>
                <w:sz w:val="24"/>
              </w:rPr>
            </w:pPr>
            <w:r>
              <w:rPr>
                <w:rFonts w:ascii="黑体" w:eastAsia="黑体" w:hAnsi="黑体" w:hint="eastAsia"/>
                <w:bCs/>
                <w:sz w:val="24"/>
              </w:rPr>
              <w:t>一、基本信息</w:t>
            </w:r>
          </w:p>
        </w:tc>
      </w:tr>
      <w:tr w:rsidR="009A782C">
        <w:trPr>
          <w:cantSplit/>
          <w:trHeight w:val="455"/>
          <w:jc w:val="center"/>
        </w:trPr>
        <w:tc>
          <w:tcPr>
            <w:tcW w:w="8472" w:type="dxa"/>
            <w:gridSpan w:val="19"/>
            <w:vAlign w:val="center"/>
          </w:tcPr>
          <w:p w:rsidR="009A782C" w:rsidRDefault="00C844CB">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外债编号（变更登记时填写）：</w:t>
            </w:r>
          </w:p>
        </w:tc>
      </w:tr>
      <w:tr w:rsidR="009A782C">
        <w:trPr>
          <w:cantSplit/>
          <w:trHeight w:val="419"/>
          <w:jc w:val="center"/>
        </w:trPr>
        <w:tc>
          <w:tcPr>
            <w:tcW w:w="8472" w:type="dxa"/>
            <w:gridSpan w:val="19"/>
            <w:vAlign w:val="center"/>
          </w:tcPr>
          <w:p w:rsidR="009A782C" w:rsidRDefault="00C844CB">
            <w:pPr>
              <w:keepNext/>
              <w:keepLines/>
              <w:spacing w:line="320" w:lineRule="exact"/>
              <w:jc w:val="left"/>
              <w:outlineLvl w:val="0"/>
              <w:rPr>
                <w:rFonts w:ascii="宋体" w:hAnsi="宋体"/>
                <w:b/>
                <w:sz w:val="24"/>
              </w:rPr>
            </w:pPr>
            <w:r>
              <w:rPr>
                <w:rFonts w:ascii="黑体" w:eastAsia="黑体" w:hAnsi="黑体" w:hint="eastAsia"/>
                <w:bCs/>
                <w:sz w:val="24"/>
              </w:rPr>
              <w:t>债务人基本信息</w:t>
            </w:r>
          </w:p>
        </w:tc>
      </w:tr>
      <w:tr w:rsidR="009A782C">
        <w:trPr>
          <w:cantSplit/>
          <w:trHeight w:val="541"/>
          <w:jc w:val="center"/>
        </w:trPr>
        <w:tc>
          <w:tcPr>
            <w:tcW w:w="1837" w:type="dxa"/>
            <w:gridSpan w:val="3"/>
            <w:vAlign w:val="center"/>
          </w:tcPr>
          <w:p w:rsidR="009A782C" w:rsidRDefault="00C844C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统一社会信用代码</w:t>
            </w:r>
          </w:p>
        </w:tc>
        <w:tc>
          <w:tcPr>
            <w:tcW w:w="6635" w:type="dxa"/>
            <w:gridSpan w:val="16"/>
            <w:vAlign w:val="center"/>
          </w:tcPr>
          <w:p w:rsidR="009A782C" w:rsidRDefault="009A782C">
            <w:pPr>
              <w:spacing w:line="320" w:lineRule="exact"/>
              <w:jc w:val="center"/>
              <w:rPr>
                <w:rFonts w:ascii="仿宋_GB2312" w:eastAsia="仿宋_GB2312" w:hAnsi="仿宋_GB2312" w:cs="仿宋_GB2312"/>
                <w:sz w:val="24"/>
              </w:rPr>
            </w:pPr>
          </w:p>
        </w:tc>
      </w:tr>
      <w:tr w:rsidR="009A782C">
        <w:trPr>
          <w:cantSplit/>
          <w:trHeight w:val="556"/>
          <w:jc w:val="center"/>
        </w:trPr>
        <w:tc>
          <w:tcPr>
            <w:tcW w:w="1837" w:type="dxa"/>
            <w:gridSpan w:val="3"/>
            <w:vAlign w:val="center"/>
          </w:tcPr>
          <w:p w:rsidR="009A782C" w:rsidRDefault="00C844C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债务人名称</w:t>
            </w:r>
          </w:p>
        </w:tc>
        <w:tc>
          <w:tcPr>
            <w:tcW w:w="1997" w:type="dxa"/>
            <w:gridSpan w:val="3"/>
            <w:vAlign w:val="center"/>
          </w:tcPr>
          <w:p w:rsidR="009A782C" w:rsidRDefault="009A782C">
            <w:pPr>
              <w:spacing w:line="320" w:lineRule="exact"/>
              <w:jc w:val="center"/>
              <w:rPr>
                <w:rFonts w:ascii="仿宋_GB2312" w:eastAsia="仿宋_GB2312" w:hAnsi="仿宋_GB2312" w:cs="仿宋_GB2312"/>
                <w:sz w:val="24"/>
              </w:rPr>
            </w:pPr>
          </w:p>
        </w:tc>
        <w:tc>
          <w:tcPr>
            <w:tcW w:w="1854" w:type="dxa"/>
            <w:gridSpan w:val="9"/>
            <w:vAlign w:val="center"/>
          </w:tcPr>
          <w:p w:rsidR="009A782C" w:rsidRDefault="00C844C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债务人类型</w:t>
            </w:r>
          </w:p>
        </w:tc>
        <w:tc>
          <w:tcPr>
            <w:tcW w:w="2784" w:type="dxa"/>
            <w:gridSpan w:val="4"/>
            <w:vAlign w:val="center"/>
          </w:tcPr>
          <w:p w:rsidR="009A782C" w:rsidRDefault="009A782C">
            <w:pPr>
              <w:keepNext/>
              <w:keepLines/>
              <w:spacing w:line="320" w:lineRule="exact"/>
              <w:jc w:val="center"/>
              <w:outlineLvl w:val="0"/>
              <w:rPr>
                <w:rFonts w:ascii="宋体" w:hAnsi="宋体"/>
                <w:sz w:val="24"/>
              </w:rPr>
            </w:pPr>
          </w:p>
        </w:tc>
      </w:tr>
      <w:tr w:rsidR="009A782C">
        <w:trPr>
          <w:cantSplit/>
          <w:trHeight w:val="471"/>
          <w:jc w:val="center"/>
        </w:trPr>
        <w:tc>
          <w:tcPr>
            <w:tcW w:w="8472" w:type="dxa"/>
            <w:gridSpan w:val="19"/>
            <w:vAlign w:val="center"/>
          </w:tcPr>
          <w:p w:rsidR="009A782C" w:rsidRDefault="00C844CB">
            <w:pPr>
              <w:keepNext/>
              <w:keepLines/>
              <w:spacing w:line="320" w:lineRule="exact"/>
              <w:jc w:val="left"/>
              <w:outlineLvl w:val="0"/>
              <w:rPr>
                <w:rFonts w:ascii="宋体" w:hAnsi="宋体"/>
                <w:sz w:val="24"/>
              </w:rPr>
            </w:pPr>
            <w:r>
              <w:rPr>
                <w:rFonts w:ascii="黑体" w:eastAsia="黑体" w:hAnsi="黑体" w:hint="eastAsia"/>
                <w:bCs/>
                <w:sz w:val="24"/>
              </w:rPr>
              <w:t>债权人基本信息</w:t>
            </w:r>
          </w:p>
        </w:tc>
      </w:tr>
      <w:tr w:rsidR="009A782C">
        <w:trPr>
          <w:cantSplit/>
          <w:trHeight w:val="556"/>
          <w:jc w:val="center"/>
        </w:trPr>
        <w:tc>
          <w:tcPr>
            <w:tcW w:w="1837" w:type="dxa"/>
            <w:gridSpan w:val="3"/>
            <w:vAlign w:val="center"/>
          </w:tcPr>
          <w:p w:rsidR="009A782C" w:rsidRDefault="00C844CB">
            <w:pPr>
              <w:keepNext/>
              <w:keepLines/>
              <w:spacing w:line="320" w:lineRule="exact"/>
              <w:jc w:val="center"/>
              <w:outlineLvl w:val="0"/>
              <w:rPr>
                <w:rFonts w:ascii="仿宋_GB2312" w:eastAsia="仿宋_GB2312" w:hAnsi="仿宋_GB2312" w:cs="仿宋_GB2312"/>
                <w:sz w:val="24"/>
              </w:rPr>
            </w:pPr>
            <w:r>
              <w:rPr>
                <w:rFonts w:ascii="仿宋_GB2312" w:eastAsia="仿宋_GB2312" w:hAnsi="仿宋_GB2312" w:cs="仿宋_GB2312" w:hint="eastAsia"/>
                <w:sz w:val="24"/>
              </w:rPr>
              <w:t>债权人名称</w:t>
            </w:r>
          </w:p>
        </w:tc>
        <w:tc>
          <w:tcPr>
            <w:tcW w:w="2055" w:type="dxa"/>
            <w:gridSpan w:val="4"/>
            <w:vAlign w:val="center"/>
          </w:tcPr>
          <w:p w:rsidR="009A782C" w:rsidRDefault="009A782C">
            <w:pPr>
              <w:keepNext/>
              <w:keepLines/>
              <w:spacing w:line="320" w:lineRule="exact"/>
              <w:jc w:val="center"/>
              <w:outlineLvl w:val="0"/>
              <w:rPr>
                <w:rFonts w:ascii="仿宋_GB2312" w:eastAsia="仿宋_GB2312" w:hAnsi="仿宋_GB2312" w:cs="仿宋_GB2312"/>
                <w:sz w:val="24"/>
              </w:rPr>
            </w:pPr>
          </w:p>
        </w:tc>
        <w:tc>
          <w:tcPr>
            <w:tcW w:w="1785" w:type="dxa"/>
            <w:gridSpan w:val="7"/>
            <w:vAlign w:val="center"/>
          </w:tcPr>
          <w:p w:rsidR="009A782C" w:rsidRDefault="00C844CB">
            <w:pPr>
              <w:keepNext/>
              <w:keepLines/>
              <w:spacing w:line="320" w:lineRule="exact"/>
              <w:jc w:val="center"/>
              <w:outlineLvl w:val="0"/>
              <w:rPr>
                <w:rFonts w:ascii="仿宋_GB2312" w:eastAsia="仿宋_GB2312" w:hAnsi="仿宋_GB2312" w:cs="仿宋_GB2312"/>
                <w:sz w:val="24"/>
              </w:rPr>
            </w:pPr>
            <w:r>
              <w:rPr>
                <w:rFonts w:ascii="仿宋_GB2312" w:eastAsia="仿宋_GB2312" w:hAnsi="仿宋_GB2312" w:cs="仿宋_GB2312" w:hint="eastAsia"/>
                <w:sz w:val="24"/>
              </w:rPr>
              <w:t>债权人类型</w:t>
            </w:r>
          </w:p>
        </w:tc>
        <w:tc>
          <w:tcPr>
            <w:tcW w:w="2795" w:type="dxa"/>
            <w:gridSpan w:val="5"/>
            <w:vAlign w:val="center"/>
          </w:tcPr>
          <w:p w:rsidR="009A782C" w:rsidRDefault="009A782C">
            <w:pPr>
              <w:keepNext/>
              <w:keepLines/>
              <w:spacing w:line="320" w:lineRule="exact"/>
              <w:jc w:val="center"/>
              <w:outlineLvl w:val="0"/>
              <w:rPr>
                <w:rFonts w:ascii="宋体" w:hAnsi="宋体"/>
                <w:sz w:val="24"/>
              </w:rPr>
            </w:pPr>
          </w:p>
        </w:tc>
      </w:tr>
      <w:tr w:rsidR="009A782C">
        <w:trPr>
          <w:cantSplit/>
          <w:trHeight w:val="556"/>
          <w:jc w:val="center"/>
        </w:trPr>
        <w:tc>
          <w:tcPr>
            <w:tcW w:w="1837" w:type="dxa"/>
            <w:gridSpan w:val="3"/>
            <w:vAlign w:val="center"/>
          </w:tcPr>
          <w:p w:rsidR="009A782C" w:rsidRDefault="00C844C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债权人总部所在国家（地区）</w:t>
            </w:r>
          </w:p>
        </w:tc>
        <w:tc>
          <w:tcPr>
            <w:tcW w:w="2055" w:type="dxa"/>
            <w:gridSpan w:val="4"/>
            <w:tcBorders>
              <w:right w:val="single" w:sz="4" w:space="0" w:color="auto"/>
            </w:tcBorders>
            <w:vAlign w:val="center"/>
          </w:tcPr>
          <w:p w:rsidR="009A782C" w:rsidRDefault="009A782C">
            <w:pPr>
              <w:keepNext/>
              <w:keepLines/>
              <w:spacing w:line="320" w:lineRule="exact"/>
              <w:jc w:val="center"/>
              <w:outlineLvl w:val="0"/>
              <w:rPr>
                <w:rFonts w:ascii="仿宋_GB2312" w:eastAsia="仿宋_GB2312" w:hAnsi="仿宋_GB2312" w:cs="仿宋_GB2312"/>
                <w:sz w:val="24"/>
              </w:rPr>
            </w:pPr>
          </w:p>
        </w:tc>
        <w:tc>
          <w:tcPr>
            <w:tcW w:w="1785" w:type="dxa"/>
            <w:gridSpan w:val="7"/>
            <w:tcBorders>
              <w:left w:val="single" w:sz="4" w:space="0" w:color="auto"/>
              <w:right w:val="single" w:sz="4" w:space="0" w:color="auto"/>
            </w:tcBorders>
            <w:vAlign w:val="center"/>
          </w:tcPr>
          <w:p w:rsidR="009A782C" w:rsidRDefault="00C844CB">
            <w:pPr>
              <w:keepNext/>
              <w:keepLines/>
              <w:spacing w:line="320" w:lineRule="exact"/>
              <w:jc w:val="center"/>
              <w:outlineLvl w:val="0"/>
              <w:rPr>
                <w:rFonts w:ascii="仿宋_GB2312" w:eastAsia="仿宋_GB2312" w:hAnsi="仿宋_GB2312" w:cs="仿宋_GB2312"/>
                <w:sz w:val="24"/>
              </w:rPr>
            </w:pPr>
            <w:r>
              <w:rPr>
                <w:rFonts w:ascii="仿宋_GB2312" w:eastAsia="仿宋_GB2312" w:hAnsi="仿宋_GB2312" w:cs="仿宋_GB2312" w:hint="eastAsia"/>
                <w:sz w:val="24"/>
              </w:rPr>
              <w:t>债权人经营地所在国家（地区）</w:t>
            </w:r>
          </w:p>
        </w:tc>
        <w:tc>
          <w:tcPr>
            <w:tcW w:w="2795" w:type="dxa"/>
            <w:gridSpan w:val="5"/>
            <w:tcBorders>
              <w:left w:val="single" w:sz="4" w:space="0" w:color="auto"/>
            </w:tcBorders>
            <w:vAlign w:val="center"/>
          </w:tcPr>
          <w:p w:rsidR="009A782C" w:rsidRDefault="009A782C">
            <w:pPr>
              <w:keepNext/>
              <w:keepLines/>
              <w:spacing w:line="320" w:lineRule="exact"/>
              <w:jc w:val="center"/>
              <w:outlineLvl w:val="0"/>
              <w:rPr>
                <w:rFonts w:ascii="宋体" w:hAnsi="宋体"/>
                <w:sz w:val="24"/>
              </w:rPr>
            </w:pPr>
          </w:p>
        </w:tc>
      </w:tr>
      <w:tr w:rsidR="009A782C">
        <w:trPr>
          <w:cantSplit/>
          <w:trHeight w:val="540"/>
          <w:jc w:val="center"/>
        </w:trPr>
        <w:tc>
          <w:tcPr>
            <w:tcW w:w="8472" w:type="dxa"/>
            <w:gridSpan w:val="19"/>
            <w:vAlign w:val="center"/>
          </w:tcPr>
          <w:p w:rsidR="009A782C" w:rsidRDefault="00C844CB">
            <w:pPr>
              <w:spacing w:line="320" w:lineRule="exact"/>
              <w:rPr>
                <w:rFonts w:ascii="宋体" w:hAnsi="宋体"/>
                <w:b/>
                <w:sz w:val="24"/>
              </w:rPr>
            </w:pPr>
            <w:r>
              <w:rPr>
                <w:rFonts w:ascii="黑体" w:eastAsia="黑体" w:hAnsi="黑体" w:hint="eastAsia"/>
                <w:bCs/>
                <w:sz w:val="24"/>
              </w:rPr>
              <w:t>二、本笔跨境融资信息</w:t>
            </w:r>
          </w:p>
        </w:tc>
      </w:tr>
      <w:tr w:rsidR="009A782C">
        <w:trPr>
          <w:cantSplit/>
          <w:trHeight w:val="704"/>
          <w:jc w:val="center"/>
        </w:trPr>
        <w:tc>
          <w:tcPr>
            <w:tcW w:w="1837" w:type="dxa"/>
            <w:gridSpan w:val="3"/>
            <w:tcBorders>
              <w:right w:val="single" w:sz="4" w:space="0" w:color="auto"/>
            </w:tcBorders>
            <w:vAlign w:val="center"/>
          </w:tcPr>
          <w:p w:rsidR="009A782C" w:rsidRDefault="00C844C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签约币种</w:t>
            </w:r>
          </w:p>
        </w:tc>
        <w:tc>
          <w:tcPr>
            <w:tcW w:w="2130" w:type="dxa"/>
            <w:gridSpan w:val="5"/>
            <w:tcBorders>
              <w:right w:val="single" w:sz="4" w:space="0" w:color="auto"/>
            </w:tcBorders>
            <w:vAlign w:val="center"/>
          </w:tcPr>
          <w:p w:rsidR="009A782C" w:rsidRDefault="009A782C">
            <w:pPr>
              <w:spacing w:line="320" w:lineRule="exact"/>
              <w:jc w:val="center"/>
              <w:rPr>
                <w:rFonts w:ascii="仿宋_GB2312" w:eastAsia="仿宋_GB2312" w:hAnsi="仿宋_GB2312" w:cs="仿宋_GB2312"/>
                <w:sz w:val="24"/>
              </w:rPr>
            </w:pPr>
          </w:p>
        </w:tc>
        <w:tc>
          <w:tcPr>
            <w:tcW w:w="1697" w:type="dxa"/>
            <w:gridSpan w:val="5"/>
            <w:tcBorders>
              <w:right w:val="single" w:sz="4" w:space="0" w:color="auto"/>
            </w:tcBorders>
            <w:vAlign w:val="center"/>
          </w:tcPr>
          <w:p w:rsidR="009A782C" w:rsidRDefault="00C844C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本笔跨境融资签约额</w:t>
            </w:r>
          </w:p>
        </w:tc>
        <w:tc>
          <w:tcPr>
            <w:tcW w:w="2808" w:type="dxa"/>
            <w:gridSpan w:val="6"/>
            <w:tcBorders>
              <w:left w:val="single" w:sz="4" w:space="0" w:color="auto"/>
            </w:tcBorders>
            <w:vAlign w:val="center"/>
          </w:tcPr>
          <w:p w:rsidR="009A782C" w:rsidRDefault="009A782C">
            <w:pPr>
              <w:spacing w:line="320" w:lineRule="exact"/>
              <w:jc w:val="center"/>
              <w:rPr>
                <w:rFonts w:ascii="仿宋_GB2312" w:eastAsia="仿宋_GB2312" w:hAnsi="仿宋_GB2312" w:cs="仿宋_GB2312"/>
                <w:sz w:val="24"/>
              </w:rPr>
            </w:pPr>
          </w:p>
        </w:tc>
      </w:tr>
      <w:tr w:rsidR="009A782C">
        <w:trPr>
          <w:cantSplit/>
          <w:trHeight w:val="528"/>
          <w:jc w:val="center"/>
        </w:trPr>
        <w:tc>
          <w:tcPr>
            <w:tcW w:w="1837" w:type="dxa"/>
            <w:gridSpan w:val="3"/>
            <w:tcBorders>
              <w:right w:val="single" w:sz="4" w:space="0" w:color="auto"/>
            </w:tcBorders>
            <w:vAlign w:val="center"/>
          </w:tcPr>
          <w:p w:rsidR="009A782C" w:rsidRDefault="00C844C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债务类型</w:t>
            </w:r>
          </w:p>
        </w:tc>
        <w:tc>
          <w:tcPr>
            <w:tcW w:w="2130" w:type="dxa"/>
            <w:gridSpan w:val="5"/>
            <w:tcBorders>
              <w:right w:val="single" w:sz="4" w:space="0" w:color="auto"/>
            </w:tcBorders>
            <w:vAlign w:val="center"/>
          </w:tcPr>
          <w:p w:rsidR="009A782C" w:rsidRDefault="009A782C">
            <w:pPr>
              <w:spacing w:line="320" w:lineRule="exact"/>
              <w:jc w:val="center"/>
              <w:rPr>
                <w:rFonts w:ascii="仿宋_GB2312" w:eastAsia="仿宋_GB2312" w:hAnsi="仿宋_GB2312" w:cs="仿宋_GB2312"/>
                <w:sz w:val="24"/>
              </w:rPr>
            </w:pPr>
          </w:p>
        </w:tc>
        <w:tc>
          <w:tcPr>
            <w:tcW w:w="1697" w:type="dxa"/>
            <w:gridSpan w:val="5"/>
            <w:tcBorders>
              <w:left w:val="single" w:sz="4" w:space="0" w:color="auto"/>
              <w:right w:val="single" w:sz="4" w:space="0" w:color="auto"/>
            </w:tcBorders>
            <w:vAlign w:val="center"/>
          </w:tcPr>
          <w:p w:rsidR="009A782C" w:rsidRDefault="00C844C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签约日</w:t>
            </w:r>
          </w:p>
        </w:tc>
        <w:tc>
          <w:tcPr>
            <w:tcW w:w="2808" w:type="dxa"/>
            <w:gridSpan w:val="6"/>
            <w:tcBorders>
              <w:left w:val="single" w:sz="4" w:space="0" w:color="auto"/>
            </w:tcBorders>
            <w:vAlign w:val="center"/>
          </w:tcPr>
          <w:p w:rsidR="009A782C" w:rsidRDefault="009A782C">
            <w:pPr>
              <w:spacing w:line="320" w:lineRule="exact"/>
              <w:jc w:val="center"/>
              <w:rPr>
                <w:rFonts w:ascii="仿宋_GB2312" w:eastAsia="仿宋_GB2312" w:hAnsi="仿宋_GB2312" w:cs="仿宋_GB2312"/>
                <w:sz w:val="24"/>
              </w:rPr>
            </w:pPr>
          </w:p>
        </w:tc>
      </w:tr>
      <w:tr w:rsidR="009A782C">
        <w:trPr>
          <w:cantSplit/>
          <w:trHeight w:val="579"/>
          <w:jc w:val="center"/>
        </w:trPr>
        <w:tc>
          <w:tcPr>
            <w:tcW w:w="1837" w:type="dxa"/>
            <w:gridSpan w:val="3"/>
            <w:tcBorders>
              <w:right w:val="single" w:sz="4" w:space="0" w:color="auto"/>
            </w:tcBorders>
            <w:vAlign w:val="center"/>
          </w:tcPr>
          <w:p w:rsidR="009A782C" w:rsidRDefault="00C844C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起息日</w:t>
            </w:r>
          </w:p>
        </w:tc>
        <w:tc>
          <w:tcPr>
            <w:tcW w:w="2130" w:type="dxa"/>
            <w:gridSpan w:val="5"/>
            <w:tcBorders>
              <w:right w:val="single" w:sz="4" w:space="0" w:color="auto"/>
            </w:tcBorders>
            <w:vAlign w:val="center"/>
          </w:tcPr>
          <w:p w:rsidR="009A782C" w:rsidRDefault="009A782C">
            <w:pPr>
              <w:spacing w:line="320" w:lineRule="exact"/>
              <w:jc w:val="center"/>
              <w:rPr>
                <w:rFonts w:ascii="仿宋_GB2312" w:eastAsia="仿宋_GB2312" w:hAnsi="仿宋_GB2312" w:cs="仿宋_GB2312"/>
                <w:sz w:val="24"/>
              </w:rPr>
            </w:pPr>
          </w:p>
        </w:tc>
        <w:tc>
          <w:tcPr>
            <w:tcW w:w="1697" w:type="dxa"/>
            <w:gridSpan w:val="5"/>
            <w:tcBorders>
              <w:left w:val="single" w:sz="4" w:space="0" w:color="auto"/>
              <w:right w:val="single" w:sz="4" w:space="0" w:color="auto"/>
            </w:tcBorders>
            <w:vAlign w:val="center"/>
          </w:tcPr>
          <w:p w:rsidR="009A782C" w:rsidRDefault="00C844C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到期日</w:t>
            </w:r>
          </w:p>
        </w:tc>
        <w:tc>
          <w:tcPr>
            <w:tcW w:w="2808" w:type="dxa"/>
            <w:gridSpan w:val="6"/>
            <w:tcBorders>
              <w:left w:val="single" w:sz="4" w:space="0" w:color="auto"/>
            </w:tcBorders>
            <w:vAlign w:val="center"/>
          </w:tcPr>
          <w:p w:rsidR="009A782C" w:rsidRDefault="009A782C">
            <w:pPr>
              <w:spacing w:line="320" w:lineRule="exact"/>
              <w:jc w:val="center"/>
              <w:rPr>
                <w:rFonts w:ascii="仿宋_GB2312" w:eastAsia="仿宋_GB2312" w:hAnsi="仿宋_GB2312" w:cs="仿宋_GB2312"/>
                <w:sz w:val="24"/>
              </w:rPr>
            </w:pPr>
          </w:p>
        </w:tc>
      </w:tr>
      <w:tr w:rsidR="009A782C">
        <w:trPr>
          <w:cantSplit/>
          <w:trHeight w:val="704"/>
          <w:jc w:val="center"/>
        </w:trPr>
        <w:tc>
          <w:tcPr>
            <w:tcW w:w="1837" w:type="dxa"/>
            <w:gridSpan w:val="3"/>
            <w:tcBorders>
              <w:right w:val="single" w:sz="4" w:space="0" w:color="auto"/>
            </w:tcBorders>
            <w:vAlign w:val="center"/>
          </w:tcPr>
          <w:p w:rsidR="009A782C" w:rsidRDefault="00C844C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本笔跨境融资年利率</w:t>
            </w:r>
          </w:p>
        </w:tc>
        <w:tc>
          <w:tcPr>
            <w:tcW w:w="2130" w:type="dxa"/>
            <w:gridSpan w:val="5"/>
            <w:tcBorders>
              <w:right w:val="single" w:sz="4" w:space="0" w:color="auto"/>
            </w:tcBorders>
            <w:vAlign w:val="center"/>
          </w:tcPr>
          <w:p w:rsidR="009A782C" w:rsidRDefault="009A782C">
            <w:pPr>
              <w:spacing w:line="320" w:lineRule="exact"/>
              <w:jc w:val="center"/>
              <w:rPr>
                <w:rFonts w:ascii="仿宋_GB2312" w:eastAsia="仿宋_GB2312" w:hAnsi="仿宋_GB2312" w:cs="仿宋_GB2312"/>
                <w:sz w:val="24"/>
              </w:rPr>
            </w:pPr>
          </w:p>
        </w:tc>
        <w:tc>
          <w:tcPr>
            <w:tcW w:w="1697" w:type="dxa"/>
            <w:gridSpan w:val="5"/>
            <w:tcBorders>
              <w:left w:val="single" w:sz="4" w:space="0" w:color="auto"/>
              <w:right w:val="single" w:sz="4" w:space="0" w:color="auto"/>
            </w:tcBorders>
            <w:vAlign w:val="center"/>
          </w:tcPr>
          <w:p w:rsidR="009A782C" w:rsidRDefault="00C844C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是否浮动利率</w:t>
            </w:r>
          </w:p>
        </w:tc>
        <w:tc>
          <w:tcPr>
            <w:tcW w:w="2808" w:type="dxa"/>
            <w:gridSpan w:val="6"/>
            <w:tcBorders>
              <w:left w:val="single" w:sz="4" w:space="0" w:color="auto"/>
            </w:tcBorders>
            <w:vAlign w:val="center"/>
          </w:tcPr>
          <w:p w:rsidR="009A782C" w:rsidRDefault="00C844C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pacing w:val="-9"/>
                <w:sz w:val="18"/>
                <w:szCs w:val="18"/>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是</w:t>
            </w:r>
            <w:r>
              <w:rPr>
                <w:rFonts w:ascii="仿宋_GB2312" w:eastAsia="仿宋_GB2312" w:hAnsi="仿宋_GB2312" w:cs="仿宋_GB2312" w:hint="eastAsia"/>
                <w:sz w:val="24"/>
              </w:rPr>
              <w:t xml:space="preserve">  </w:t>
            </w:r>
            <w:r>
              <w:rPr>
                <w:rFonts w:ascii="仿宋_GB2312" w:eastAsia="仿宋_GB2312" w:hAnsi="仿宋_GB2312" w:cs="仿宋_GB2312" w:hint="eastAsia"/>
                <w:spacing w:val="-9"/>
                <w:sz w:val="18"/>
                <w:szCs w:val="18"/>
              </w:rPr>
              <w:t>□</w:t>
            </w:r>
            <w:r>
              <w:rPr>
                <w:rFonts w:ascii="仿宋_GB2312" w:eastAsia="仿宋_GB2312" w:hAnsi="仿宋_GB2312" w:cs="仿宋_GB2312" w:hint="eastAsia"/>
                <w:sz w:val="24"/>
              </w:rPr>
              <w:t>否</w:t>
            </w:r>
          </w:p>
        </w:tc>
      </w:tr>
      <w:tr w:rsidR="009A782C">
        <w:trPr>
          <w:cantSplit/>
          <w:trHeight w:val="704"/>
          <w:jc w:val="center"/>
        </w:trPr>
        <w:tc>
          <w:tcPr>
            <w:tcW w:w="1837" w:type="dxa"/>
            <w:gridSpan w:val="3"/>
            <w:tcBorders>
              <w:right w:val="single" w:sz="4" w:space="0" w:color="auto"/>
            </w:tcBorders>
            <w:vAlign w:val="center"/>
          </w:tcPr>
          <w:p w:rsidR="009A782C" w:rsidRDefault="00C844C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是否循环类贷款</w:t>
            </w:r>
          </w:p>
        </w:tc>
        <w:tc>
          <w:tcPr>
            <w:tcW w:w="2130" w:type="dxa"/>
            <w:gridSpan w:val="5"/>
            <w:tcBorders>
              <w:right w:val="single" w:sz="4" w:space="0" w:color="auto"/>
            </w:tcBorders>
            <w:vAlign w:val="center"/>
          </w:tcPr>
          <w:p w:rsidR="009A782C" w:rsidRDefault="00C844CB">
            <w:pPr>
              <w:spacing w:line="320" w:lineRule="exact"/>
              <w:jc w:val="center"/>
              <w:rPr>
                <w:rFonts w:ascii="仿宋_GB2312" w:eastAsia="仿宋_GB2312" w:hAnsi="仿宋_GB2312" w:cs="仿宋_GB2312"/>
                <w:spacing w:val="-9"/>
                <w:sz w:val="18"/>
                <w:szCs w:val="18"/>
              </w:rPr>
            </w:pPr>
            <w:r>
              <w:rPr>
                <w:rFonts w:ascii="仿宋_GB2312" w:eastAsia="仿宋_GB2312" w:hAnsi="仿宋_GB2312" w:cs="仿宋_GB2312" w:hint="eastAsia"/>
                <w:spacing w:val="-9"/>
                <w:sz w:val="18"/>
                <w:szCs w:val="18"/>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是</w:t>
            </w:r>
            <w:r>
              <w:rPr>
                <w:rFonts w:ascii="仿宋_GB2312" w:eastAsia="仿宋_GB2312" w:hAnsi="仿宋_GB2312" w:cs="仿宋_GB2312" w:hint="eastAsia"/>
                <w:sz w:val="24"/>
              </w:rPr>
              <w:t xml:space="preserve">  </w:t>
            </w:r>
            <w:r>
              <w:rPr>
                <w:rFonts w:ascii="仿宋_GB2312" w:eastAsia="仿宋_GB2312" w:hAnsi="仿宋_GB2312" w:cs="仿宋_GB2312" w:hint="eastAsia"/>
                <w:spacing w:val="-9"/>
                <w:sz w:val="18"/>
                <w:szCs w:val="18"/>
              </w:rPr>
              <w:t>□</w:t>
            </w:r>
            <w:r>
              <w:rPr>
                <w:rFonts w:ascii="仿宋_GB2312" w:eastAsia="仿宋_GB2312" w:hAnsi="仿宋_GB2312" w:cs="仿宋_GB2312" w:hint="eastAsia"/>
                <w:sz w:val="24"/>
              </w:rPr>
              <w:t>否</w:t>
            </w:r>
          </w:p>
        </w:tc>
        <w:tc>
          <w:tcPr>
            <w:tcW w:w="1697" w:type="dxa"/>
            <w:gridSpan w:val="5"/>
            <w:tcBorders>
              <w:right w:val="single" w:sz="4" w:space="0" w:color="auto"/>
            </w:tcBorders>
            <w:vAlign w:val="center"/>
          </w:tcPr>
          <w:p w:rsidR="009A782C" w:rsidRDefault="00C844C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是否存在提前还款条款</w:t>
            </w:r>
          </w:p>
        </w:tc>
        <w:tc>
          <w:tcPr>
            <w:tcW w:w="2808" w:type="dxa"/>
            <w:gridSpan w:val="6"/>
            <w:tcBorders>
              <w:left w:val="single" w:sz="4" w:space="0" w:color="auto"/>
            </w:tcBorders>
            <w:vAlign w:val="center"/>
          </w:tcPr>
          <w:p w:rsidR="009A782C" w:rsidRDefault="00C844CB">
            <w:pPr>
              <w:spacing w:line="320" w:lineRule="exact"/>
              <w:jc w:val="center"/>
              <w:rPr>
                <w:rFonts w:ascii="仿宋_GB2312" w:eastAsia="仿宋_GB2312" w:hAnsi="仿宋_GB2312" w:cs="仿宋_GB2312"/>
                <w:spacing w:val="-9"/>
                <w:sz w:val="18"/>
                <w:szCs w:val="18"/>
              </w:rPr>
            </w:pPr>
            <w:r>
              <w:rPr>
                <w:rFonts w:ascii="仿宋_GB2312" w:eastAsia="仿宋_GB2312" w:hAnsi="仿宋_GB2312" w:cs="仿宋_GB2312" w:hint="eastAsia"/>
                <w:spacing w:val="-9"/>
                <w:sz w:val="18"/>
                <w:szCs w:val="18"/>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是</w:t>
            </w:r>
            <w:r>
              <w:rPr>
                <w:rFonts w:ascii="仿宋_GB2312" w:eastAsia="仿宋_GB2312" w:hAnsi="仿宋_GB2312" w:cs="仿宋_GB2312" w:hint="eastAsia"/>
                <w:sz w:val="24"/>
              </w:rPr>
              <w:t xml:space="preserve">  </w:t>
            </w:r>
            <w:r>
              <w:rPr>
                <w:rFonts w:ascii="仿宋_GB2312" w:eastAsia="仿宋_GB2312" w:hAnsi="仿宋_GB2312" w:cs="仿宋_GB2312" w:hint="eastAsia"/>
                <w:spacing w:val="-9"/>
                <w:sz w:val="18"/>
                <w:szCs w:val="18"/>
              </w:rPr>
              <w:t>□</w:t>
            </w:r>
            <w:r>
              <w:rPr>
                <w:rFonts w:ascii="仿宋_GB2312" w:eastAsia="仿宋_GB2312" w:hAnsi="仿宋_GB2312" w:cs="仿宋_GB2312" w:hint="eastAsia"/>
                <w:sz w:val="24"/>
              </w:rPr>
              <w:t>否</w:t>
            </w:r>
          </w:p>
        </w:tc>
      </w:tr>
      <w:tr w:rsidR="009A782C">
        <w:trPr>
          <w:cantSplit/>
          <w:trHeight w:val="704"/>
          <w:jc w:val="center"/>
        </w:trPr>
        <w:tc>
          <w:tcPr>
            <w:tcW w:w="1837" w:type="dxa"/>
            <w:gridSpan w:val="3"/>
            <w:tcBorders>
              <w:right w:val="single" w:sz="4" w:space="0" w:color="auto"/>
            </w:tcBorders>
            <w:vAlign w:val="center"/>
          </w:tcPr>
          <w:p w:rsidR="009A782C" w:rsidRDefault="00C844C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是否有利息本金化条款</w:t>
            </w:r>
          </w:p>
        </w:tc>
        <w:tc>
          <w:tcPr>
            <w:tcW w:w="2130" w:type="dxa"/>
            <w:gridSpan w:val="5"/>
            <w:tcBorders>
              <w:right w:val="single" w:sz="4" w:space="0" w:color="auto"/>
            </w:tcBorders>
            <w:vAlign w:val="center"/>
          </w:tcPr>
          <w:p w:rsidR="009A782C" w:rsidRDefault="00C844C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pacing w:val="-9"/>
                <w:sz w:val="18"/>
                <w:szCs w:val="18"/>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是</w:t>
            </w:r>
            <w:r>
              <w:rPr>
                <w:rFonts w:ascii="仿宋_GB2312" w:eastAsia="仿宋_GB2312" w:hAnsi="仿宋_GB2312" w:cs="仿宋_GB2312" w:hint="eastAsia"/>
                <w:sz w:val="24"/>
              </w:rPr>
              <w:t xml:space="preserve">  </w:t>
            </w:r>
            <w:r>
              <w:rPr>
                <w:rFonts w:ascii="仿宋_GB2312" w:eastAsia="仿宋_GB2312" w:hAnsi="仿宋_GB2312" w:cs="仿宋_GB2312" w:hint="eastAsia"/>
                <w:spacing w:val="-9"/>
                <w:sz w:val="18"/>
                <w:szCs w:val="18"/>
              </w:rPr>
              <w:t>□</w:t>
            </w:r>
            <w:r>
              <w:rPr>
                <w:rFonts w:ascii="仿宋_GB2312" w:eastAsia="仿宋_GB2312" w:hAnsi="仿宋_GB2312" w:cs="仿宋_GB2312" w:hint="eastAsia"/>
                <w:sz w:val="24"/>
              </w:rPr>
              <w:t>否</w:t>
            </w:r>
          </w:p>
        </w:tc>
        <w:tc>
          <w:tcPr>
            <w:tcW w:w="1697" w:type="dxa"/>
            <w:gridSpan w:val="5"/>
            <w:tcBorders>
              <w:right w:val="single" w:sz="4" w:space="0" w:color="auto"/>
            </w:tcBorders>
            <w:vAlign w:val="center"/>
          </w:tcPr>
          <w:p w:rsidR="009A782C" w:rsidRDefault="00C844C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是否有交叉违约条款</w:t>
            </w:r>
          </w:p>
        </w:tc>
        <w:tc>
          <w:tcPr>
            <w:tcW w:w="2808" w:type="dxa"/>
            <w:gridSpan w:val="6"/>
            <w:tcBorders>
              <w:left w:val="single" w:sz="4" w:space="0" w:color="auto"/>
            </w:tcBorders>
            <w:vAlign w:val="center"/>
          </w:tcPr>
          <w:p w:rsidR="009A782C" w:rsidRDefault="00C844C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pacing w:val="-9"/>
                <w:sz w:val="18"/>
                <w:szCs w:val="18"/>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是</w:t>
            </w:r>
            <w:r>
              <w:rPr>
                <w:rFonts w:ascii="仿宋_GB2312" w:eastAsia="仿宋_GB2312" w:hAnsi="仿宋_GB2312" w:cs="仿宋_GB2312" w:hint="eastAsia"/>
                <w:sz w:val="24"/>
              </w:rPr>
              <w:t xml:space="preserve"> </w:t>
            </w:r>
            <w:r>
              <w:rPr>
                <w:rFonts w:ascii="仿宋_GB2312" w:eastAsia="仿宋_GB2312" w:hAnsi="仿宋_GB2312" w:cs="仿宋_GB2312" w:hint="eastAsia"/>
                <w:spacing w:val="-9"/>
                <w:sz w:val="18"/>
                <w:szCs w:val="18"/>
              </w:rPr>
              <w:t>□</w:t>
            </w:r>
            <w:r>
              <w:rPr>
                <w:rFonts w:ascii="仿宋_GB2312" w:eastAsia="仿宋_GB2312" w:hAnsi="仿宋_GB2312" w:cs="仿宋_GB2312" w:hint="eastAsia"/>
                <w:sz w:val="24"/>
              </w:rPr>
              <w:t>否</w:t>
            </w:r>
          </w:p>
        </w:tc>
      </w:tr>
      <w:tr w:rsidR="009A782C">
        <w:trPr>
          <w:cantSplit/>
          <w:trHeight w:val="704"/>
          <w:jc w:val="center"/>
        </w:trPr>
        <w:tc>
          <w:tcPr>
            <w:tcW w:w="1837" w:type="dxa"/>
            <w:gridSpan w:val="3"/>
            <w:tcBorders>
              <w:right w:val="single" w:sz="4" w:space="0" w:color="auto"/>
            </w:tcBorders>
            <w:vAlign w:val="center"/>
          </w:tcPr>
          <w:p w:rsidR="009A782C" w:rsidRDefault="00C844C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是否存在加速到期条款</w:t>
            </w:r>
          </w:p>
        </w:tc>
        <w:tc>
          <w:tcPr>
            <w:tcW w:w="2130" w:type="dxa"/>
            <w:gridSpan w:val="5"/>
            <w:tcBorders>
              <w:right w:val="single" w:sz="4" w:space="0" w:color="auto"/>
            </w:tcBorders>
            <w:vAlign w:val="center"/>
          </w:tcPr>
          <w:p w:rsidR="009A782C" w:rsidRDefault="00C844C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pacing w:val="-9"/>
                <w:sz w:val="18"/>
                <w:szCs w:val="18"/>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是</w:t>
            </w:r>
            <w:r>
              <w:rPr>
                <w:rFonts w:ascii="仿宋_GB2312" w:eastAsia="仿宋_GB2312" w:hAnsi="仿宋_GB2312" w:cs="仿宋_GB2312" w:hint="eastAsia"/>
                <w:sz w:val="24"/>
              </w:rPr>
              <w:t xml:space="preserve">  </w:t>
            </w:r>
            <w:r>
              <w:rPr>
                <w:rFonts w:ascii="仿宋_GB2312" w:eastAsia="仿宋_GB2312" w:hAnsi="仿宋_GB2312" w:cs="仿宋_GB2312" w:hint="eastAsia"/>
                <w:spacing w:val="-9"/>
                <w:sz w:val="18"/>
                <w:szCs w:val="18"/>
              </w:rPr>
              <w:t>□</w:t>
            </w:r>
            <w:r>
              <w:rPr>
                <w:rFonts w:ascii="仿宋_GB2312" w:eastAsia="仿宋_GB2312" w:hAnsi="仿宋_GB2312" w:cs="仿宋_GB2312" w:hint="eastAsia"/>
                <w:sz w:val="24"/>
              </w:rPr>
              <w:t>否</w:t>
            </w:r>
          </w:p>
        </w:tc>
        <w:tc>
          <w:tcPr>
            <w:tcW w:w="1697" w:type="dxa"/>
            <w:gridSpan w:val="5"/>
            <w:tcBorders>
              <w:right w:val="single" w:sz="4" w:space="0" w:color="auto"/>
            </w:tcBorders>
            <w:vAlign w:val="center"/>
          </w:tcPr>
          <w:p w:rsidR="009A782C" w:rsidRDefault="00C844C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是否外保内贷履约</w:t>
            </w:r>
          </w:p>
        </w:tc>
        <w:tc>
          <w:tcPr>
            <w:tcW w:w="2808" w:type="dxa"/>
            <w:gridSpan w:val="6"/>
            <w:tcBorders>
              <w:left w:val="single" w:sz="4" w:space="0" w:color="auto"/>
            </w:tcBorders>
            <w:vAlign w:val="center"/>
          </w:tcPr>
          <w:p w:rsidR="009A782C" w:rsidRDefault="00C844C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pacing w:val="-9"/>
                <w:sz w:val="18"/>
                <w:szCs w:val="18"/>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是</w:t>
            </w:r>
            <w:r>
              <w:rPr>
                <w:rFonts w:ascii="仿宋_GB2312" w:eastAsia="仿宋_GB2312" w:hAnsi="仿宋_GB2312" w:cs="仿宋_GB2312" w:hint="eastAsia"/>
                <w:sz w:val="24"/>
              </w:rPr>
              <w:t xml:space="preserve"> </w:t>
            </w:r>
            <w:r>
              <w:rPr>
                <w:rFonts w:ascii="仿宋_GB2312" w:eastAsia="仿宋_GB2312" w:hAnsi="仿宋_GB2312" w:cs="仿宋_GB2312" w:hint="eastAsia"/>
                <w:spacing w:val="-9"/>
                <w:sz w:val="18"/>
                <w:szCs w:val="18"/>
              </w:rPr>
              <w:t>□</w:t>
            </w:r>
            <w:r>
              <w:rPr>
                <w:rFonts w:ascii="仿宋_GB2312" w:eastAsia="仿宋_GB2312" w:hAnsi="仿宋_GB2312" w:cs="仿宋_GB2312" w:hint="eastAsia"/>
                <w:sz w:val="24"/>
              </w:rPr>
              <w:t>否</w:t>
            </w:r>
          </w:p>
        </w:tc>
      </w:tr>
      <w:tr w:rsidR="009A782C">
        <w:trPr>
          <w:cantSplit/>
          <w:trHeight w:val="704"/>
          <w:jc w:val="center"/>
        </w:trPr>
        <w:tc>
          <w:tcPr>
            <w:tcW w:w="1837" w:type="dxa"/>
            <w:gridSpan w:val="3"/>
            <w:tcBorders>
              <w:right w:val="single" w:sz="4" w:space="0" w:color="auto"/>
            </w:tcBorders>
            <w:vAlign w:val="center"/>
          </w:tcPr>
          <w:p w:rsidR="009A782C" w:rsidRDefault="00C844C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是否为境内银行离岸部贷款</w:t>
            </w:r>
          </w:p>
        </w:tc>
        <w:tc>
          <w:tcPr>
            <w:tcW w:w="6635" w:type="dxa"/>
            <w:gridSpan w:val="16"/>
            <w:vAlign w:val="center"/>
          </w:tcPr>
          <w:p w:rsidR="009A782C" w:rsidRDefault="00C844C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pacing w:val="-9"/>
                <w:sz w:val="18"/>
                <w:szCs w:val="18"/>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是</w:t>
            </w:r>
            <w:r>
              <w:rPr>
                <w:rFonts w:ascii="仿宋_GB2312" w:eastAsia="仿宋_GB2312" w:hAnsi="仿宋_GB2312" w:cs="仿宋_GB2312" w:hint="eastAsia"/>
                <w:sz w:val="24"/>
              </w:rPr>
              <w:t xml:space="preserve">  </w:t>
            </w:r>
            <w:r>
              <w:rPr>
                <w:rFonts w:ascii="仿宋_GB2312" w:eastAsia="仿宋_GB2312" w:hAnsi="仿宋_GB2312" w:cs="仿宋_GB2312" w:hint="eastAsia"/>
                <w:spacing w:val="-9"/>
                <w:sz w:val="18"/>
                <w:szCs w:val="18"/>
              </w:rPr>
              <w:t>□</w:t>
            </w:r>
            <w:r>
              <w:rPr>
                <w:rFonts w:ascii="仿宋_GB2312" w:eastAsia="仿宋_GB2312" w:hAnsi="仿宋_GB2312" w:cs="仿宋_GB2312" w:hint="eastAsia"/>
                <w:sz w:val="24"/>
              </w:rPr>
              <w:t>否</w:t>
            </w:r>
          </w:p>
        </w:tc>
      </w:tr>
      <w:tr w:rsidR="009A782C">
        <w:trPr>
          <w:cantSplit/>
          <w:trHeight w:val="704"/>
          <w:jc w:val="center"/>
        </w:trPr>
        <w:tc>
          <w:tcPr>
            <w:tcW w:w="1837" w:type="dxa"/>
            <w:gridSpan w:val="3"/>
            <w:tcBorders>
              <w:right w:val="single" w:sz="4" w:space="0" w:color="auto"/>
            </w:tcBorders>
            <w:vAlign w:val="center"/>
          </w:tcPr>
          <w:p w:rsidR="009A782C" w:rsidRDefault="00C844C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是否占用外债额度</w:t>
            </w:r>
          </w:p>
        </w:tc>
        <w:tc>
          <w:tcPr>
            <w:tcW w:w="2160" w:type="dxa"/>
            <w:gridSpan w:val="7"/>
            <w:tcBorders>
              <w:right w:val="single" w:sz="4" w:space="0" w:color="auto"/>
            </w:tcBorders>
            <w:vAlign w:val="center"/>
          </w:tcPr>
          <w:p w:rsidR="009A782C" w:rsidRDefault="00C844CB">
            <w:pPr>
              <w:spacing w:line="320" w:lineRule="exact"/>
              <w:jc w:val="center"/>
              <w:rPr>
                <w:rFonts w:ascii="仿宋_GB2312" w:eastAsia="仿宋_GB2312" w:hAnsi="仿宋_GB2312" w:cs="仿宋_GB2312"/>
                <w:spacing w:val="-9"/>
                <w:sz w:val="18"/>
                <w:szCs w:val="18"/>
              </w:rPr>
            </w:pPr>
            <w:r>
              <w:rPr>
                <w:rFonts w:ascii="仿宋_GB2312" w:eastAsia="仿宋_GB2312" w:hAnsi="仿宋_GB2312" w:cs="仿宋_GB2312" w:hint="eastAsia"/>
                <w:spacing w:val="-9"/>
                <w:sz w:val="18"/>
                <w:szCs w:val="18"/>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是</w:t>
            </w:r>
            <w:r>
              <w:rPr>
                <w:rFonts w:ascii="仿宋_GB2312" w:eastAsia="仿宋_GB2312" w:hAnsi="仿宋_GB2312" w:cs="仿宋_GB2312" w:hint="eastAsia"/>
                <w:sz w:val="24"/>
              </w:rPr>
              <w:t xml:space="preserve">  </w:t>
            </w:r>
            <w:r>
              <w:rPr>
                <w:rFonts w:ascii="仿宋_GB2312" w:eastAsia="仿宋_GB2312" w:hAnsi="仿宋_GB2312" w:cs="仿宋_GB2312" w:hint="eastAsia"/>
                <w:spacing w:val="-9"/>
                <w:sz w:val="18"/>
                <w:szCs w:val="18"/>
              </w:rPr>
              <w:t>□</w:t>
            </w:r>
            <w:r>
              <w:rPr>
                <w:rFonts w:ascii="仿宋_GB2312" w:eastAsia="仿宋_GB2312" w:hAnsi="仿宋_GB2312" w:cs="仿宋_GB2312" w:hint="eastAsia"/>
                <w:sz w:val="24"/>
              </w:rPr>
              <w:t>否</w:t>
            </w:r>
          </w:p>
        </w:tc>
        <w:tc>
          <w:tcPr>
            <w:tcW w:w="1680" w:type="dxa"/>
            <w:gridSpan w:val="4"/>
            <w:tcBorders>
              <w:left w:val="single" w:sz="4" w:space="0" w:color="auto"/>
              <w:right w:val="single" w:sz="4" w:space="0" w:color="auto"/>
            </w:tcBorders>
            <w:vAlign w:val="center"/>
          </w:tcPr>
          <w:p w:rsidR="009A782C" w:rsidRDefault="00C844CB">
            <w:pPr>
              <w:spacing w:line="320" w:lineRule="exact"/>
              <w:jc w:val="center"/>
              <w:rPr>
                <w:rFonts w:ascii="仿宋_GB2312" w:eastAsia="仿宋_GB2312" w:hAnsi="仿宋_GB2312" w:cs="仿宋_GB2312"/>
                <w:spacing w:val="-9"/>
                <w:sz w:val="18"/>
                <w:szCs w:val="18"/>
              </w:rPr>
            </w:pPr>
            <w:r>
              <w:rPr>
                <w:rFonts w:ascii="仿宋_GB2312" w:eastAsia="仿宋_GB2312" w:hAnsi="仿宋_GB2312" w:cs="仿宋_GB2312" w:hint="eastAsia"/>
                <w:sz w:val="24"/>
              </w:rPr>
              <w:t>豁免类型</w:t>
            </w:r>
          </w:p>
        </w:tc>
        <w:tc>
          <w:tcPr>
            <w:tcW w:w="2795" w:type="dxa"/>
            <w:gridSpan w:val="5"/>
            <w:tcBorders>
              <w:left w:val="single" w:sz="4" w:space="0" w:color="auto"/>
            </w:tcBorders>
            <w:vAlign w:val="center"/>
          </w:tcPr>
          <w:p w:rsidR="009A782C" w:rsidRDefault="009A782C">
            <w:pPr>
              <w:spacing w:line="320" w:lineRule="exact"/>
              <w:jc w:val="center"/>
              <w:rPr>
                <w:rFonts w:ascii="仿宋_GB2312" w:eastAsia="仿宋_GB2312" w:hAnsi="仿宋_GB2312" w:cs="仿宋_GB2312"/>
                <w:spacing w:val="-9"/>
                <w:sz w:val="18"/>
                <w:szCs w:val="18"/>
              </w:rPr>
            </w:pPr>
          </w:p>
        </w:tc>
      </w:tr>
      <w:tr w:rsidR="009A782C">
        <w:trPr>
          <w:cantSplit/>
          <w:trHeight w:val="704"/>
          <w:jc w:val="center"/>
        </w:trPr>
        <w:tc>
          <w:tcPr>
            <w:tcW w:w="1837" w:type="dxa"/>
            <w:gridSpan w:val="3"/>
            <w:tcBorders>
              <w:right w:val="single" w:sz="4" w:space="0" w:color="auto"/>
            </w:tcBorders>
            <w:vAlign w:val="center"/>
          </w:tcPr>
          <w:p w:rsidR="009A782C" w:rsidRDefault="00C844C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是否内保外贷资金调回境内</w:t>
            </w:r>
          </w:p>
        </w:tc>
        <w:tc>
          <w:tcPr>
            <w:tcW w:w="6635" w:type="dxa"/>
            <w:gridSpan w:val="16"/>
            <w:tcBorders>
              <w:left w:val="single" w:sz="4" w:space="0" w:color="auto"/>
            </w:tcBorders>
            <w:vAlign w:val="center"/>
          </w:tcPr>
          <w:p w:rsidR="009A782C" w:rsidRDefault="00C844C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pacing w:val="-9"/>
                <w:sz w:val="18"/>
                <w:szCs w:val="18"/>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是</w:t>
            </w:r>
            <w:r>
              <w:rPr>
                <w:rFonts w:ascii="仿宋_GB2312" w:eastAsia="仿宋_GB2312" w:hAnsi="仿宋_GB2312" w:cs="仿宋_GB2312" w:hint="eastAsia"/>
                <w:sz w:val="24"/>
              </w:rPr>
              <w:t xml:space="preserve">  </w:t>
            </w:r>
            <w:r>
              <w:rPr>
                <w:rFonts w:ascii="仿宋_GB2312" w:eastAsia="仿宋_GB2312" w:hAnsi="仿宋_GB2312" w:cs="仿宋_GB2312" w:hint="eastAsia"/>
                <w:spacing w:val="-9"/>
                <w:sz w:val="18"/>
                <w:szCs w:val="18"/>
              </w:rPr>
              <w:t>□</w:t>
            </w:r>
            <w:r>
              <w:rPr>
                <w:rFonts w:ascii="仿宋_GB2312" w:eastAsia="仿宋_GB2312" w:hAnsi="仿宋_GB2312" w:cs="仿宋_GB2312" w:hint="eastAsia"/>
                <w:sz w:val="24"/>
              </w:rPr>
              <w:t>否</w:t>
            </w:r>
          </w:p>
        </w:tc>
      </w:tr>
      <w:tr w:rsidR="009A782C">
        <w:trPr>
          <w:cantSplit/>
          <w:trHeight w:val="704"/>
          <w:jc w:val="center"/>
        </w:trPr>
        <w:tc>
          <w:tcPr>
            <w:tcW w:w="1837" w:type="dxa"/>
            <w:gridSpan w:val="3"/>
            <w:tcBorders>
              <w:right w:val="single" w:sz="4" w:space="0" w:color="auto"/>
            </w:tcBorders>
            <w:vAlign w:val="center"/>
          </w:tcPr>
          <w:p w:rsidR="009A782C" w:rsidRDefault="00C844CB">
            <w:pPr>
              <w:spacing w:line="320" w:lineRule="exact"/>
              <w:jc w:val="center"/>
              <w:rPr>
                <w:rFonts w:ascii="仿宋_GB2312" w:eastAsia="仿宋_GB2312" w:hAnsi="仿宋_GB2312" w:cs="仿宋_GB2312"/>
                <w:spacing w:val="-9"/>
                <w:sz w:val="18"/>
                <w:szCs w:val="18"/>
              </w:rPr>
            </w:pPr>
            <w:r>
              <w:rPr>
                <w:rFonts w:ascii="仿宋_GB2312" w:eastAsia="仿宋_GB2312" w:hAnsi="仿宋_GB2312" w:cs="仿宋_GB2312" w:hint="eastAsia"/>
                <w:sz w:val="24"/>
              </w:rPr>
              <w:t>内保外贷业务编号</w:t>
            </w:r>
          </w:p>
        </w:tc>
        <w:tc>
          <w:tcPr>
            <w:tcW w:w="2160" w:type="dxa"/>
            <w:gridSpan w:val="7"/>
            <w:tcBorders>
              <w:left w:val="single" w:sz="4" w:space="0" w:color="auto"/>
              <w:right w:val="single" w:sz="4" w:space="0" w:color="auto"/>
            </w:tcBorders>
            <w:vAlign w:val="center"/>
          </w:tcPr>
          <w:p w:rsidR="009A782C" w:rsidRDefault="009A782C">
            <w:pPr>
              <w:spacing w:line="320" w:lineRule="exact"/>
              <w:jc w:val="center"/>
              <w:rPr>
                <w:rFonts w:ascii="仿宋_GB2312" w:eastAsia="仿宋_GB2312" w:hAnsi="仿宋_GB2312" w:cs="仿宋_GB2312"/>
                <w:spacing w:val="-9"/>
                <w:sz w:val="18"/>
                <w:szCs w:val="18"/>
              </w:rPr>
            </w:pPr>
          </w:p>
        </w:tc>
        <w:tc>
          <w:tcPr>
            <w:tcW w:w="1680" w:type="dxa"/>
            <w:gridSpan w:val="4"/>
            <w:tcBorders>
              <w:left w:val="single" w:sz="4" w:space="0" w:color="auto"/>
              <w:right w:val="single" w:sz="4" w:space="0" w:color="auto"/>
            </w:tcBorders>
            <w:vAlign w:val="center"/>
          </w:tcPr>
          <w:p w:rsidR="009A782C" w:rsidRDefault="00C844CB">
            <w:pPr>
              <w:spacing w:line="320" w:lineRule="exact"/>
              <w:jc w:val="center"/>
              <w:rPr>
                <w:rFonts w:ascii="仿宋_GB2312" w:eastAsia="仿宋_GB2312" w:hAnsi="仿宋_GB2312" w:cs="仿宋_GB2312"/>
                <w:spacing w:val="-9"/>
                <w:sz w:val="18"/>
                <w:szCs w:val="18"/>
              </w:rPr>
            </w:pPr>
            <w:r>
              <w:rPr>
                <w:rFonts w:ascii="仿宋_GB2312" w:eastAsia="仿宋_GB2312" w:hAnsi="仿宋_GB2312" w:cs="仿宋_GB2312" w:hint="eastAsia"/>
                <w:sz w:val="24"/>
              </w:rPr>
              <w:t>调回金额占比（</w:t>
            </w:r>
            <w:r>
              <w:rPr>
                <w:rFonts w:ascii="仿宋_GB2312" w:eastAsia="仿宋_GB2312" w:hAnsi="仿宋_GB2312" w:cs="仿宋_GB2312" w:hint="eastAsia"/>
                <w:sz w:val="24"/>
              </w:rPr>
              <w:t>%</w:t>
            </w:r>
            <w:r>
              <w:rPr>
                <w:rFonts w:ascii="仿宋_GB2312" w:eastAsia="仿宋_GB2312" w:hAnsi="仿宋_GB2312" w:cs="仿宋_GB2312" w:hint="eastAsia"/>
                <w:sz w:val="24"/>
              </w:rPr>
              <w:t>）</w:t>
            </w:r>
          </w:p>
        </w:tc>
        <w:tc>
          <w:tcPr>
            <w:tcW w:w="2795" w:type="dxa"/>
            <w:gridSpan w:val="5"/>
            <w:tcBorders>
              <w:left w:val="single" w:sz="4" w:space="0" w:color="auto"/>
            </w:tcBorders>
            <w:vAlign w:val="center"/>
          </w:tcPr>
          <w:p w:rsidR="009A782C" w:rsidRDefault="009A782C">
            <w:pPr>
              <w:spacing w:line="320" w:lineRule="exact"/>
              <w:jc w:val="center"/>
              <w:rPr>
                <w:rFonts w:ascii="仿宋_GB2312" w:eastAsia="仿宋_GB2312" w:hAnsi="仿宋_GB2312" w:cs="仿宋_GB2312"/>
                <w:spacing w:val="-9"/>
                <w:sz w:val="18"/>
                <w:szCs w:val="18"/>
              </w:rPr>
            </w:pPr>
          </w:p>
        </w:tc>
      </w:tr>
      <w:tr w:rsidR="009A782C">
        <w:trPr>
          <w:cantSplit/>
          <w:trHeight w:val="704"/>
          <w:jc w:val="center"/>
        </w:trPr>
        <w:tc>
          <w:tcPr>
            <w:tcW w:w="1837" w:type="dxa"/>
            <w:gridSpan w:val="3"/>
            <w:tcBorders>
              <w:right w:val="single" w:sz="4" w:space="0" w:color="auto"/>
            </w:tcBorders>
            <w:vAlign w:val="center"/>
          </w:tcPr>
          <w:p w:rsidR="009A782C" w:rsidRDefault="00C844C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跨境融资资金用途</w:t>
            </w:r>
          </w:p>
        </w:tc>
        <w:tc>
          <w:tcPr>
            <w:tcW w:w="6635" w:type="dxa"/>
            <w:gridSpan w:val="16"/>
            <w:tcBorders>
              <w:left w:val="single" w:sz="4" w:space="0" w:color="auto"/>
            </w:tcBorders>
            <w:vAlign w:val="center"/>
          </w:tcPr>
          <w:p w:rsidR="009A782C" w:rsidRDefault="009A782C">
            <w:pPr>
              <w:spacing w:line="320" w:lineRule="exact"/>
              <w:jc w:val="center"/>
              <w:rPr>
                <w:rFonts w:ascii="仿宋_GB2312" w:eastAsia="仿宋_GB2312" w:hAnsi="仿宋_GB2312" w:cs="仿宋_GB2312"/>
                <w:spacing w:val="-9"/>
                <w:sz w:val="18"/>
                <w:szCs w:val="18"/>
              </w:rPr>
            </w:pPr>
          </w:p>
        </w:tc>
      </w:tr>
      <w:tr w:rsidR="009A782C">
        <w:trPr>
          <w:cantSplit/>
          <w:trHeight w:val="704"/>
          <w:jc w:val="center"/>
        </w:trPr>
        <w:tc>
          <w:tcPr>
            <w:tcW w:w="1837" w:type="dxa"/>
            <w:gridSpan w:val="3"/>
            <w:tcBorders>
              <w:right w:val="single" w:sz="4" w:space="0" w:color="auto"/>
            </w:tcBorders>
            <w:vAlign w:val="center"/>
          </w:tcPr>
          <w:p w:rsidR="009A782C" w:rsidRDefault="00C844C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跨境融资还款来源</w:t>
            </w:r>
          </w:p>
        </w:tc>
        <w:tc>
          <w:tcPr>
            <w:tcW w:w="6635" w:type="dxa"/>
            <w:gridSpan w:val="16"/>
            <w:tcBorders>
              <w:left w:val="single" w:sz="4" w:space="0" w:color="auto"/>
            </w:tcBorders>
            <w:vAlign w:val="center"/>
          </w:tcPr>
          <w:p w:rsidR="009A782C" w:rsidRDefault="009A782C">
            <w:pPr>
              <w:spacing w:line="320" w:lineRule="exact"/>
              <w:jc w:val="center"/>
              <w:rPr>
                <w:rFonts w:ascii="仿宋_GB2312" w:eastAsia="仿宋_GB2312" w:hAnsi="仿宋_GB2312" w:cs="仿宋_GB2312"/>
                <w:spacing w:val="-9"/>
                <w:sz w:val="18"/>
                <w:szCs w:val="18"/>
              </w:rPr>
            </w:pPr>
          </w:p>
        </w:tc>
      </w:tr>
      <w:tr w:rsidR="009A782C">
        <w:trPr>
          <w:cantSplit/>
          <w:trHeight w:val="1249"/>
          <w:jc w:val="center"/>
        </w:trPr>
        <w:tc>
          <w:tcPr>
            <w:tcW w:w="8472" w:type="dxa"/>
            <w:gridSpan w:val="19"/>
          </w:tcPr>
          <w:p w:rsidR="009A782C" w:rsidRDefault="00C844CB">
            <w:pPr>
              <w:spacing w:line="320" w:lineRule="exact"/>
              <w:rPr>
                <w:rFonts w:ascii="仿宋_GB2312" w:eastAsia="仿宋_GB2312" w:hAnsi="仿宋_GB2312" w:cs="仿宋_GB2312"/>
                <w:sz w:val="24"/>
                <w:szCs w:val="24"/>
              </w:rPr>
            </w:pPr>
            <w:r>
              <w:rPr>
                <w:rFonts w:ascii="仿宋_GB2312" w:eastAsia="仿宋_GB2312" w:hAnsi="仿宋_GB2312" w:cs="仿宋_GB2312" w:hint="eastAsia"/>
                <w:b/>
                <w:bCs/>
                <w:sz w:val="24"/>
                <w:szCs w:val="24"/>
              </w:rPr>
              <w:t>备注（如以上表格内容不能完整反映登记信息，可在此栏中填写）</w:t>
            </w:r>
          </w:p>
          <w:p w:rsidR="009A782C" w:rsidRDefault="009A782C">
            <w:pPr>
              <w:pStyle w:val="BodyTextFirstIndent21"/>
              <w:ind w:left="482" w:hanging="62"/>
              <w:rPr>
                <w:rFonts w:ascii="仿宋_GB2312" w:eastAsia="仿宋_GB2312" w:hAnsi="仿宋_GB2312" w:cs="仿宋_GB2312"/>
              </w:rPr>
            </w:pPr>
          </w:p>
        </w:tc>
      </w:tr>
      <w:tr w:rsidR="009A782C">
        <w:trPr>
          <w:cantSplit/>
          <w:trHeight w:val="564"/>
          <w:jc w:val="center"/>
        </w:trPr>
        <w:tc>
          <w:tcPr>
            <w:tcW w:w="8472" w:type="dxa"/>
            <w:gridSpan w:val="19"/>
            <w:vAlign w:val="center"/>
          </w:tcPr>
          <w:p w:rsidR="009A782C" w:rsidRDefault="00C844CB">
            <w:pPr>
              <w:spacing w:line="320" w:lineRule="exact"/>
              <w:jc w:val="left"/>
              <w:rPr>
                <w:rFonts w:ascii="黑体" w:eastAsia="黑体" w:hAnsi="黑体"/>
                <w:bCs/>
                <w:sz w:val="24"/>
              </w:rPr>
            </w:pPr>
            <w:r>
              <w:rPr>
                <w:rFonts w:ascii="黑体" w:eastAsia="黑体" w:hAnsi="黑体" w:hint="eastAsia"/>
                <w:bCs/>
                <w:sz w:val="24"/>
              </w:rPr>
              <w:t>三、跨境融资风险加权余额</w:t>
            </w:r>
          </w:p>
        </w:tc>
      </w:tr>
      <w:tr w:rsidR="009A782C">
        <w:trPr>
          <w:cantSplit/>
          <w:trHeight w:val="564"/>
          <w:jc w:val="center"/>
        </w:trPr>
        <w:tc>
          <w:tcPr>
            <w:tcW w:w="8472" w:type="dxa"/>
            <w:gridSpan w:val="19"/>
            <w:vAlign w:val="center"/>
          </w:tcPr>
          <w:p w:rsidR="009A782C" w:rsidRDefault="00C844CB">
            <w:pPr>
              <w:spacing w:line="320" w:lineRule="exact"/>
              <w:jc w:val="left"/>
              <w:rPr>
                <w:rFonts w:ascii="宋体" w:hAnsi="宋体"/>
                <w:b/>
                <w:sz w:val="24"/>
              </w:rPr>
            </w:pPr>
            <w:r>
              <w:rPr>
                <w:rFonts w:ascii="黑体" w:eastAsia="黑体" w:hAnsi="黑体" w:hint="eastAsia"/>
                <w:bCs/>
                <w:sz w:val="24"/>
              </w:rPr>
              <w:t>跨境融资风险加权余额上限（单位：万元人民币）</w:t>
            </w:r>
          </w:p>
        </w:tc>
      </w:tr>
      <w:tr w:rsidR="009A782C">
        <w:trPr>
          <w:cantSplit/>
          <w:trHeight w:val="564"/>
          <w:jc w:val="center"/>
        </w:trPr>
        <w:tc>
          <w:tcPr>
            <w:tcW w:w="1809" w:type="dxa"/>
            <w:gridSpan w:val="2"/>
            <w:vAlign w:val="center"/>
          </w:tcPr>
          <w:p w:rsidR="009A782C" w:rsidRDefault="00C844C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净资产</w:t>
            </w:r>
          </w:p>
        </w:tc>
        <w:tc>
          <w:tcPr>
            <w:tcW w:w="2173" w:type="dxa"/>
            <w:gridSpan w:val="7"/>
            <w:tcBorders>
              <w:right w:val="single" w:sz="4" w:space="0" w:color="auto"/>
            </w:tcBorders>
            <w:vAlign w:val="center"/>
          </w:tcPr>
          <w:p w:rsidR="009A782C" w:rsidRDefault="009A782C">
            <w:pPr>
              <w:spacing w:line="320" w:lineRule="exact"/>
              <w:jc w:val="center"/>
              <w:rPr>
                <w:rFonts w:ascii="仿宋_GB2312" w:eastAsia="仿宋_GB2312" w:hAnsi="仿宋_GB2312" w:cs="仿宋_GB2312"/>
                <w:sz w:val="24"/>
              </w:rPr>
            </w:pPr>
          </w:p>
        </w:tc>
        <w:tc>
          <w:tcPr>
            <w:tcW w:w="1796" w:type="dxa"/>
            <w:gridSpan w:val="8"/>
            <w:tcBorders>
              <w:left w:val="single" w:sz="4" w:space="0" w:color="auto"/>
              <w:right w:val="single" w:sz="4" w:space="0" w:color="auto"/>
            </w:tcBorders>
            <w:vAlign w:val="center"/>
          </w:tcPr>
          <w:p w:rsidR="009A782C" w:rsidRDefault="00C844C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跨境融资风险加权余额上限</w:t>
            </w:r>
          </w:p>
        </w:tc>
        <w:tc>
          <w:tcPr>
            <w:tcW w:w="2694" w:type="dxa"/>
            <w:gridSpan w:val="2"/>
            <w:tcBorders>
              <w:left w:val="single" w:sz="4" w:space="0" w:color="auto"/>
            </w:tcBorders>
            <w:vAlign w:val="center"/>
          </w:tcPr>
          <w:p w:rsidR="009A782C" w:rsidRDefault="009A782C">
            <w:pPr>
              <w:spacing w:line="320" w:lineRule="exact"/>
              <w:jc w:val="center"/>
              <w:rPr>
                <w:rFonts w:ascii="仿宋_GB2312" w:eastAsia="仿宋_GB2312" w:hAnsi="仿宋_GB2312" w:cs="仿宋_GB2312"/>
                <w:sz w:val="24"/>
              </w:rPr>
            </w:pPr>
          </w:p>
        </w:tc>
      </w:tr>
      <w:tr w:rsidR="009A782C">
        <w:trPr>
          <w:cantSplit/>
          <w:trHeight w:val="564"/>
          <w:jc w:val="center"/>
        </w:trPr>
        <w:tc>
          <w:tcPr>
            <w:tcW w:w="8472" w:type="dxa"/>
            <w:gridSpan w:val="19"/>
            <w:vAlign w:val="center"/>
          </w:tcPr>
          <w:p w:rsidR="009A782C" w:rsidRDefault="00C844CB">
            <w:pPr>
              <w:spacing w:line="320" w:lineRule="exact"/>
              <w:jc w:val="left"/>
              <w:rPr>
                <w:rFonts w:ascii="宋体" w:hAnsi="宋体"/>
                <w:b/>
                <w:sz w:val="24"/>
              </w:rPr>
            </w:pPr>
            <w:r>
              <w:rPr>
                <w:rFonts w:ascii="黑体" w:eastAsia="黑体" w:hAnsi="黑体" w:hint="eastAsia"/>
                <w:bCs/>
                <w:sz w:val="24"/>
              </w:rPr>
              <w:t>跨境融资风险加权余额（单位：万元人民币）</w:t>
            </w:r>
          </w:p>
        </w:tc>
      </w:tr>
      <w:tr w:rsidR="009A782C">
        <w:trPr>
          <w:cantSplit/>
          <w:trHeight w:val="502"/>
          <w:jc w:val="center"/>
        </w:trPr>
        <w:tc>
          <w:tcPr>
            <w:tcW w:w="2257" w:type="dxa"/>
            <w:gridSpan w:val="4"/>
            <w:tcBorders>
              <w:tl2br w:val="single" w:sz="4" w:space="0" w:color="auto"/>
            </w:tcBorders>
            <w:vAlign w:val="center"/>
          </w:tcPr>
          <w:p w:rsidR="009A782C" w:rsidRDefault="009A782C">
            <w:pPr>
              <w:keepNext/>
              <w:keepLines/>
              <w:spacing w:line="320" w:lineRule="exact"/>
              <w:jc w:val="center"/>
              <w:outlineLvl w:val="0"/>
              <w:rPr>
                <w:rFonts w:ascii="仿宋_GB2312" w:eastAsia="仿宋_GB2312" w:hAnsi="仿宋_GB2312" w:cs="仿宋_GB2312"/>
                <w:sz w:val="24"/>
              </w:rPr>
            </w:pPr>
          </w:p>
        </w:tc>
        <w:tc>
          <w:tcPr>
            <w:tcW w:w="1840" w:type="dxa"/>
            <w:gridSpan w:val="7"/>
            <w:vAlign w:val="center"/>
          </w:tcPr>
          <w:p w:rsidR="009A782C" w:rsidRDefault="00C844CB">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中长期</w:t>
            </w:r>
          </w:p>
        </w:tc>
        <w:tc>
          <w:tcPr>
            <w:tcW w:w="1656" w:type="dxa"/>
            <w:gridSpan w:val="5"/>
            <w:vAlign w:val="center"/>
          </w:tcPr>
          <w:p w:rsidR="009A782C" w:rsidRDefault="00C844CB">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短期</w:t>
            </w:r>
          </w:p>
        </w:tc>
        <w:tc>
          <w:tcPr>
            <w:tcW w:w="2719" w:type="dxa"/>
            <w:gridSpan w:val="3"/>
            <w:vAlign w:val="center"/>
          </w:tcPr>
          <w:p w:rsidR="009A782C" w:rsidRDefault="00C844CB">
            <w:pPr>
              <w:jc w:val="center"/>
              <w:rPr>
                <w:rFonts w:ascii="仿宋_GB2312" w:eastAsia="仿宋_GB2312" w:hAnsi="仿宋_GB2312" w:cs="仿宋_GB2312"/>
              </w:rPr>
            </w:pPr>
            <w:r>
              <w:rPr>
                <w:rFonts w:ascii="仿宋_GB2312" w:eastAsia="仿宋_GB2312" w:hAnsi="仿宋_GB2312" w:cs="仿宋_GB2312" w:hint="eastAsia"/>
                <w:sz w:val="24"/>
              </w:rPr>
              <w:t>外币余额折人民币金额</w:t>
            </w:r>
          </w:p>
        </w:tc>
      </w:tr>
      <w:tr w:rsidR="009A782C">
        <w:trPr>
          <w:cantSplit/>
          <w:trHeight w:val="663"/>
          <w:jc w:val="center"/>
        </w:trPr>
        <w:tc>
          <w:tcPr>
            <w:tcW w:w="2257" w:type="dxa"/>
            <w:gridSpan w:val="4"/>
            <w:vAlign w:val="center"/>
          </w:tcPr>
          <w:p w:rsidR="009A782C" w:rsidRDefault="00C844C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现有跨境融资余额</w:t>
            </w:r>
          </w:p>
        </w:tc>
        <w:tc>
          <w:tcPr>
            <w:tcW w:w="1840" w:type="dxa"/>
            <w:gridSpan w:val="7"/>
            <w:vAlign w:val="center"/>
          </w:tcPr>
          <w:p w:rsidR="009A782C" w:rsidRDefault="009A782C">
            <w:pPr>
              <w:spacing w:line="320" w:lineRule="exact"/>
              <w:jc w:val="center"/>
              <w:rPr>
                <w:rFonts w:ascii="仿宋_GB2312" w:eastAsia="仿宋_GB2312" w:hAnsi="仿宋_GB2312" w:cs="仿宋_GB2312"/>
                <w:sz w:val="24"/>
              </w:rPr>
            </w:pPr>
          </w:p>
        </w:tc>
        <w:tc>
          <w:tcPr>
            <w:tcW w:w="1656" w:type="dxa"/>
            <w:gridSpan w:val="5"/>
            <w:vAlign w:val="center"/>
          </w:tcPr>
          <w:p w:rsidR="009A782C" w:rsidRDefault="009A782C">
            <w:pPr>
              <w:spacing w:line="320" w:lineRule="exact"/>
              <w:jc w:val="center"/>
              <w:rPr>
                <w:rFonts w:ascii="仿宋_GB2312" w:eastAsia="仿宋_GB2312" w:hAnsi="仿宋_GB2312" w:cs="仿宋_GB2312"/>
                <w:sz w:val="24"/>
              </w:rPr>
            </w:pPr>
          </w:p>
        </w:tc>
        <w:tc>
          <w:tcPr>
            <w:tcW w:w="2719" w:type="dxa"/>
            <w:gridSpan w:val="3"/>
            <w:vAlign w:val="center"/>
          </w:tcPr>
          <w:p w:rsidR="009A782C" w:rsidRDefault="009A782C">
            <w:pPr>
              <w:spacing w:line="320" w:lineRule="exact"/>
              <w:jc w:val="center"/>
              <w:rPr>
                <w:rFonts w:ascii="仿宋_GB2312" w:eastAsia="仿宋_GB2312" w:hAnsi="仿宋_GB2312" w:cs="仿宋_GB2312"/>
                <w:sz w:val="24"/>
              </w:rPr>
            </w:pPr>
          </w:p>
        </w:tc>
      </w:tr>
      <w:tr w:rsidR="009A782C">
        <w:trPr>
          <w:cantSplit/>
          <w:trHeight w:val="663"/>
          <w:jc w:val="center"/>
        </w:trPr>
        <w:tc>
          <w:tcPr>
            <w:tcW w:w="2257" w:type="dxa"/>
            <w:gridSpan w:val="4"/>
            <w:vAlign w:val="center"/>
          </w:tcPr>
          <w:p w:rsidR="009A782C" w:rsidRDefault="00C844C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本笔跨境融资</w:t>
            </w:r>
          </w:p>
          <w:p w:rsidR="009A782C" w:rsidRDefault="00C844C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签约额</w:t>
            </w:r>
          </w:p>
        </w:tc>
        <w:tc>
          <w:tcPr>
            <w:tcW w:w="1840" w:type="dxa"/>
            <w:gridSpan w:val="7"/>
            <w:vAlign w:val="center"/>
          </w:tcPr>
          <w:p w:rsidR="009A782C" w:rsidRDefault="009A782C">
            <w:pPr>
              <w:spacing w:line="320" w:lineRule="exact"/>
              <w:jc w:val="center"/>
              <w:rPr>
                <w:rFonts w:ascii="仿宋_GB2312" w:eastAsia="仿宋_GB2312" w:hAnsi="仿宋_GB2312" w:cs="仿宋_GB2312"/>
                <w:sz w:val="24"/>
              </w:rPr>
            </w:pPr>
          </w:p>
        </w:tc>
        <w:tc>
          <w:tcPr>
            <w:tcW w:w="1656" w:type="dxa"/>
            <w:gridSpan w:val="5"/>
            <w:vAlign w:val="center"/>
          </w:tcPr>
          <w:p w:rsidR="009A782C" w:rsidRDefault="009A782C">
            <w:pPr>
              <w:spacing w:line="320" w:lineRule="exact"/>
              <w:jc w:val="center"/>
              <w:rPr>
                <w:rFonts w:ascii="仿宋_GB2312" w:eastAsia="仿宋_GB2312" w:hAnsi="仿宋_GB2312" w:cs="仿宋_GB2312"/>
                <w:sz w:val="24"/>
              </w:rPr>
            </w:pPr>
          </w:p>
        </w:tc>
        <w:tc>
          <w:tcPr>
            <w:tcW w:w="2719" w:type="dxa"/>
            <w:gridSpan w:val="3"/>
            <w:vAlign w:val="center"/>
          </w:tcPr>
          <w:p w:rsidR="009A782C" w:rsidRDefault="009A782C">
            <w:pPr>
              <w:spacing w:line="320" w:lineRule="exact"/>
              <w:jc w:val="center"/>
              <w:rPr>
                <w:rFonts w:ascii="仿宋_GB2312" w:eastAsia="仿宋_GB2312" w:hAnsi="仿宋_GB2312" w:cs="仿宋_GB2312"/>
                <w:sz w:val="24"/>
              </w:rPr>
            </w:pPr>
          </w:p>
        </w:tc>
      </w:tr>
      <w:tr w:rsidR="009A782C">
        <w:trPr>
          <w:cantSplit/>
          <w:trHeight w:val="684"/>
          <w:jc w:val="center"/>
        </w:trPr>
        <w:tc>
          <w:tcPr>
            <w:tcW w:w="701" w:type="dxa"/>
            <w:vMerge w:val="restart"/>
            <w:vAlign w:val="center"/>
          </w:tcPr>
          <w:p w:rsidR="009A782C" w:rsidRDefault="00C844C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不纳入计算的业务类型</w:t>
            </w:r>
          </w:p>
        </w:tc>
        <w:tc>
          <w:tcPr>
            <w:tcW w:w="1556" w:type="dxa"/>
            <w:gridSpan w:val="3"/>
            <w:tcBorders>
              <w:tl2br w:val="single" w:sz="4" w:space="0" w:color="auto"/>
            </w:tcBorders>
            <w:vAlign w:val="center"/>
          </w:tcPr>
          <w:p w:rsidR="009A782C" w:rsidRDefault="009A782C">
            <w:pPr>
              <w:keepNext/>
              <w:keepLines/>
              <w:spacing w:line="320" w:lineRule="exact"/>
              <w:jc w:val="center"/>
              <w:outlineLvl w:val="0"/>
              <w:rPr>
                <w:rFonts w:ascii="仿宋_GB2312" w:eastAsia="仿宋_GB2312" w:hAnsi="仿宋_GB2312" w:cs="仿宋_GB2312"/>
                <w:sz w:val="24"/>
              </w:rPr>
            </w:pPr>
          </w:p>
        </w:tc>
        <w:tc>
          <w:tcPr>
            <w:tcW w:w="1840" w:type="dxa"/>
            <w:gridSpan w:val="7"/>
            <w:vAlign w:val="center"/>
          </w:tcPr>
          <w:p w:rsidR="009A782C" w:rsidRDefault="00C844CB">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中长期余额</w:t>
            </w:r>
          </w:p>
        </w:tc>
        <w:tc>
          <w:tcPr>
            <w:tcW w:w="1656" w:type="dxa"/>
            <w:gridSpan w:val="5"/>
            <w:vAlign w:val="center"/>
          </w:tcPr>
          <w:p w:rsidR="009A782C" w:rsidRDefault="00C844CB">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短期余额</w:t>
            </w:r>
          </w:p>
        </w:tc>
        <w:tc>
          <w:tcPr>
            <w:tcW w:w="2719" w:type="dxa"/>
            <w:gridSpan w:val="3"/>
            <w:vAlign w:val="center"/>
          </w:tcPr>
          <w:p w:rsidR="009A782C" w:rsidRDefault="00C844CB">
            <w:pPr>
              <w:jc w:val="center"/>
              <w:rPr>
                <w:rFonts w:ascii="仿宋_GB2312" w:eastAsia="仿宋_GB2312" w:hAnsi="仿宋_GB2312" w:cs="仿宋_GB2312"/>
              </w:rPr>
            </w:pPr>
            <w:r>
              <w:rPr>
                <w:rFonts w:ascii="仿宋_GB2312" w:eastAsia="仿宋_GB2312" w:hAnsi="仿宋_GB2312" w:cs="仿宋_GB2312" w:hint="eastAsia"/>
                <w:sz w:val="24"/>
              </w:rPr>
              <w:t>外币余额折人民币金额</w:t>
            </w:r>
          </w:p>
        </w:tc>
      </w:tr>
      <w:tr w:rsidR="009A782C">
        <w:trPr>
          <w:cantSplit/>
          <w:trHeight w:val="411"/>
          <w:jc w:val="center"/>
        </w:trPr>
        <w:tc>
          <w:tcPr>
            <w:tcW w:w="701" w:type="dxa"/>
            <w:vMerge/>
            <w:vAlign w:val="center"/>
          </w:tcPr>
          <w:p w:rsidR="009A782C" w:rsidRDefault="009A782C">
            <w:pPr>
              <w:keepNext/>
              <w:keepLines/>
              <w:spacing w:line="320" w:lineRule="exact"/>
              <w:jc w:val="center"/>
              <w:outlineLvl w:val="0"/>
              <w:rPr>
                <w:rFonts w:ascii="仿宋_GB2312" w:eastAsia="仿宋_GB2312" w:hAnsi="仿宋_GB2312" w:cs="仿宋_GB2312"/>
                <w:sz w:val="24"/>
              </w:rPr>
            </w:pPr>
          </w:p>
        </w:tc>
        <w:tc>
          <w:tcPr>
            <w:tcW w:w="1556" w:type="dxa"/>
            <w:gridSpan w:val="3"/>
            <w:vAlign w:val="center"/>
          </w:tcPr>
          <w:p w:rsidR="009A782C" w:rsidRDefault="00C844C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熊猫债</w:t>
            </w:r>
          </w:p>
        </w:tc>
        <w:tc>
          <w:tcPr>
            <w:tcW w:w="1840" w:type="dxa"/>
            <w:gridSpan w:val="7"/>
            <w:vAlign w:val="center"/>
          </w:tcPr>
          <w:p w:rsidR="009A782C" w:rsidRDefault="009A782C">
            <w:pPr>
              <w:keepNext/>
              <w:keepLines/>
              <w:spacing w:line="320" w:lineRule="exact"/>
              <w:jc w:val="center"/>
              <w:outlineLvl w:val="0"/>
              <w:rPr>
                <w:rFonts w:ascii="仿宋_GB2312" w:eastAsia="仿宋_GB2312" w:hAnsi="仿宋_GB2312" w:cs="仿宋_GB2312"/>
                <w:sz w:val="24"/>
              </w:rPr>
            </w:pPr>
          </w:p>
        </w:tc>
        <w:tc>
          <w:tcPr>
            <w:tcW w:w="1656" w:type="dxa"/>
            <w:gridSpan w:val="5"/>
            <w:vAlign w:val="center"/>
          </w:tcPr>
          <w:p w:rsidR="009A782C" w:rsidRDefault="009A782C">
            <w:pPr>
              <w:keepNext/>
              <w:keepLines/>
              <w:spacing w:line="320" w:lineRule="exact"/>
              <w:jc w:val="center"/>
              <w:outlineLvl w:val="0"/>
              <w:rPr>
                <w:rFonts w:ascii="仿宋_GB2312" w:eastAsia="仿宋_GB2312" w:hAnsi="仿宋_GB2312" w:cs="仿宋_GB2312"/>
                <w:sz w:val="24"/>
              </w:rPr>
            </w:pPr>
          </w:p>
        </w:tc>
        <w:tc>
          <w:tcPr>
            <w:tcW w:w="2719" w:type="dxa"/>
            <w:gridSpan w:val="3"/>
            <w:vAlign w:val="center"/>
          </w:tcPr>
          <w:p w:rsidR="009A782C" w:rsidRDefault="009A782C">
            <w:pPr>
              <w:keepNext/>
              <w:keepLines/>
              <w:spacing w:line="320" w:lineRule="exact"/>
              <w:jc w:val="center"/>
              <w:outlineLvl w:val="0"/>
              <w:rPr>
                <w:rFonts w:ascii="仿宋_GB2312" w:eastAsia="仿宋_GB2312" w:hAnsi="仿宋_GB2312" w:cs="仿宋_GB2312"/>
                <w:sz w:val="24"/>
              </w:rPr>
            </w:pPr>
          </w:p>
        </w:tc>
      </w:tr>
      <w:tr w:rsidR="009A782C">
        <w:trPr>
          <w:cantSplit/>
          <w:trHeight w:val="416"/>
          <w:jc w:val="center"/>
        </w:trPr>
        <w:tc>
          <w:tcPr>
            <w:tcW w:w="701" w:type="dxa"/>
            <w:vMerge/>
            <w:vAlign w:val="center"/>
          </w:tcPr>
          <w:p w:rsidR="009A782C" w:rsidRDefault="009A782C">
            <w:pPr>
              <w:keepNext/>
              <w:keepLines/>
              <w:spacing w:line="320" w:lineRule="exact"/>
              <w:jc w:val="center"/>
              <w:outlineLvl w:val="0"/>
              <w:rPr>
                <w:rFonts w:ascii="仿宋_GB2312" w:eastAsia="仿宋_GB2312" w:hAnsi="仿宋_GB2312" w:cs="仿宋_GB2312"/>
                <w:sz w:val="24"/>
              </w:rPr>
            </w:pPr>
          </w:p>
        </w:tc>
        <w:tc>
          <w:tcPr>
            <w:tcW w:w="1556" w:type="dxa"/>
            <w:gridSpan w:val="3"/>
            <w:vAlign w:val="center"/>
          </w:tcPr>
          <w:p w:rsidR="009A782C" w:rsidRDefault="009A782C">
            <w:pPr>
              <w:keepNext/>
              <w:keepLines/>
              <w:spacing w:line="320" w:lineRule="exact"/>
              <w:jc w:val="center"/>
              <w:outlineLvl w:val="0"/>
              <w:rPr>
                <w:rFonts w:ascii="仿宋_GB2312" w:eastAsia="仿宋_GB2312" w:hAnsi="仿宋_GB2312" w:cs="仿宋_GB2312"/>
                <w:sz w:val="24"/>
              </w:rPr>
            </w:pPr>
          </w:p>
        </w:tc>
        <w:tc>
          <w:tcPr>
            <w:tcW w:w="1840" w:type="dxa"/>
            <w:gridSpan w:val="7"/>
            <w:vAlign w:val="center"/>
          </w:tcPr>
          <w:p w:rsidR="009A782C" w:rsidRDefault="009A782C">
            <w:pPr>
              <w:keepNext/>
              <w:keepLines/>
              <w:spacing w:line="320" w:lineRule="exact"/>
              <w:jc w:val="center"/>
              <w:outlineLvl w:val="0"/>
              <w:rPr>
                <w:rFonts w:ascii="仿宋_GB2312" w:eastAsia="仿宋_GB2312" w:hAnsi="仿宋_GB2312" w:cs="仿宋_GB2312"/>
                <w:sz w:val="24"/>
              </w:rPr>
            </w:pPr>
          </w:p>
        </w:tc>
        <w:tc>
          <w:tcPr>
            <w:tcW w:w="1656" w:type="dxa"/>
            <w:gridSpan w:val="5"/>
            <w:vAlign w:val="center"/>
          </w:tcPr>
          <w:p w:rsidR="009A782C" w:rsidRDefault="009A782C">
            <w:pPr>
              <w:keepNext/>
              <w:keepLines/>
              <w:spacing w:line="320" w:lineRule="exact"/>
              <w:jc w:val="center"/>
              <w:outlineLvl w:val="0"/>
              <w:rPr>
                <w:rFonts w:ascii="仿宋_GB2312" w:eastAsia="仿宋_GB2312" w:hAnsi="仿宋_GB2312" w:cs="仿宋_GB2312"/>
                <w:sz w:val="24"/>
              </w:rPr>
            </w:pPr>
          </w:p>
        </w:tc>
        <w:tc>
          <w:tcPr>
            <w:tcW w:w="2719" w:type="dxa"/>
            <w:gridSpan w:val="3"/>
            <w:vAlign w:val="center"/>
          </w:tcPr>
          <w:p w:rsidR="009A782C" w:rsidRDefault="009A782C">
            <w:pPr>
              <w:keepNext/>
              <w:keepLines/>
              <w:spacing w:line="320" w:lineRule="exact"/>
              <w:jc w:val="center"/>
              <w:outlineLvl w:val="0"/>
              <w:rPr>
                <w:rFonts w:ascii="仿宋_GB2312" w:eastAsia="仿宋_GB2312" w:hAnsi="仿宋_GB2312" w:cs="仿宋_GB2312"/>
                <w:sz w:val="24"/>
              </w:rPr>
            </w:pPr>
          </w:p>
        </w:tc>
      </w:tr>
      <w:tr w:rsidR="009A782C">
        <w:trPr>
          <w:cantSplit/>
          <w:trHeight w:val="409"/>
          <w:jc w:val="center"/>
        </w:trPr>
        <w:tc>
          <w:tcPr>
            <w:tcW w:w="701" w:type="dxa"/>
            <w:vMerge/>
            <w:vAlign w:val="center"/>
          </w:tcPr>
          <w:p w:rsidR="009A782C" w:rsidRDefault="009A782C">
            <w:pPr>
              <w:keepNext/>
              <w:keepLines/>
              <w:spacing w:line="320" w:lineRule="exact"/>
              <w:jc w:val="center"/>
              <w:outlineLvl w:val="0"/>
              <w:rPr>
                <w:rFonts w:ascii="仿宋_GB2312" w:eastAsia="仿宋_GB2312" w:hAnsi="仿宋_GB2312" w:cs="仿宋_GB2312"/>
                <w:sz w:val="24"/>
              </w:rPr>
            </w:pPr>
          </w:p>
        </w:tc>
        <w:tc>
          <w:tcPr>
            <w:tcW w:w="1556" w:type="dxa"/>
            <w:gridSpan w:val="3"/>
            <w:vAlign w:val="center"/>
          </w:tcPr>
          <w:p w:rsidR="009A782C" w:rsidRDefault="009A782C">
            <w:pPr>
              <w:keepNext/>
              <w:keepLines/>
              <w:spacing w:line="320" w:lineRule="exact"/>
              <w:jc w:val="center"/>
              <w:outlineLvl w:val="0"/>
              <w:rPr>
                <w:rFonts w:ascii="仿宋_GB2312" w:eastAsia="仿宋_GB2312" w:hAnsi="仿宋_GB2312" w:cs="仿宋_GB2312"/>
                <w:sz w:val="24"/>
              </w:rPr>
            </w:pPr>
          </w:p>
        </w:tc>
        <w:tc>
          <w:tcPr>
            <w:tcW w:w="1840" w:type="dxa"/>
            <w:gridSpan w:val="7"/>
            <w:vAlign w:val="center"/>
          </w:tcPr>
          <w:p w:rsidR="009A782C" w:rsidRDefault="009A782C">
            <w:pPr>
              <w:keepNext/>
              <w:keepLines/>
              <w:spacing w:line="320" w:lineRule="exact"/>
              <w:jc w:val="center"/>
              <w:outlineLvl w:val="0"/>
              <w:rPr>
                <w:rFonts w:ascii="仿宋_GB2312" w:eastAsia="仿宋_GB2312" w:hAnsi="仿宋_GB2312" w:cs="仿宋_GB2312"/>
                <w:sz w:val="24"/>
              </w:rPr>
            </w:pPr>
          </w:p>
        </w:tc>
        <w:tc>
          <w:tcPr>
            <w:tcW w:w="1656" w:type="dxa"/>
            <w:gridSpan w:val="5"/>
            <w:vAlign w:val="center"/>
          </w:tcPr>
          <w:p w:rsidR="009A782C" w:rsidRDefault="009A782C">
            <w:pPr>
              <w:keepNext/>
              <w:keepLines/>
              <w:spacing w:line="320" w:lineRule="exact"/>
              <w:jc w:val="center"/>
              <w:outlineLvl w:val="0"/>
              <w:rPr>
                <w:rFonts w:ascii="仿宋_GB2312" w:eastAsia="仿宋_GB2312" w:hAnsi="仿宋_GB2312" w:cs="仿宋_GB2312"/>
                <w:sz w:val="24"/>
              </w:rPr>
            </w:pPr>
          </w:p>
        </w:tc>
        <w:tc>
          <w:tcPr>
            <w:tcW w:w="2719" w:type="dxa"/>
            <w:gridSpan w:val="3"/>
            <w:vAlign w:val="center"/>
          </w:tcPr>
          <w:p w:rsidR="009A782C" w:rsidRDefault="009A782C">
            <w:pPr>
              <w:keepNext/>
              <w:keepLines/>
              <w:spacing w:line="320" w:lineRule="exact"/>
              <w:jc w:val="center"/>
              <w:outlineLvl w:val="0"/>
              <w:rPr>
                <w:rFonts w:ascii="仿宋_GB2312" w:eastAsia="仿宋_GB2312" w:hAnsi="仿宋_GB2312" w:cs="仿宋_GB2312"/>
                <w:sz w:val="24"/>
              </w:rPr>
            </w:pPr>
          </w:p>
        </w:tc>
      </w:tr>
      <w:tr w:rsidR="009A782C">
        <w:trPr>
          <w:cantSplit/>
          <w:trHeight w:val="568"/>
          <w:jc w:val="center"/>
        </w:trPr>
        <w:tc>
          <w:tcPr>
            <w:tcW w:w="2257" w:type="dxa"/>
            <w:gridSpan w:val="4"/>
            <w:vAlign w:val="center"/>
          </w:tcPr>
          <w:p w:rsidR="009A782C" w:rsidRDefault="00C844C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纳入计算的余额</w:t>
            </w:r>
          </w:p>
        </w:tc>
        <w:tc>
          <w:tcPr>
            <w:tcW w:w="1840" w:type="dxa"/>
            <w:gridSpan w:val="7"/>
            <w:vAlign w:val="center"/>
          </w:tcPr>
          <w:p w:rsidR="009A782C" w:rsidRDefault="009A782C">
            <w:pPr>
              <w:keepNext/>
              <w:keepLines/>
              <w:spacing w:line="320" w:lineRule="exact"/>
              <w:jc w:val="center"/>
              <w:outlineLvl w:val="0"/>
              <w:rPr>
                <w:rFonts w:ascii="仿宋_GB2312" w:eastAsia="仿宋_GB2312" w:hAnsi="仿宋_GB2312" w:cs="仿宋_GB2312"/>
                <w:sz w:val="24"/>
              </w:rPr>
            </w:pPr>
          </w:p>
        </w:tc>
        <w:tc>
          <w:tcPr>
            <w:tcW w:w="1656" w:type="dxa"/>
            <w:gridSpan w:val="5"/>
            <w:vAlign w:val="center"/>
          </w:tcPr>
          <w:p w:rsidR="009A782C" w:rsidRDefault="009A782C">
            <w:pPr>
              <w:keepNext/>
              <w:keepLines/>
              <w:spacing w:line="320" w:lineRule="exact"/>
              <w:jc w:val="center"/>
              <w:outlineLvl w:val="0"/>
              <w:rPr>
                <w:rFonts w:ascii="仿宋_GB2312" w:eastAsia="仿宋_GB2312" w:hAnsi="仿宋_GB2312" w:cs="仿宋_GB2312"/>
                <w:sz w:val="24"/>
              </w:rPr>
            </w:pPr>
          </w:p>
        </w:tc>
        <w:tc>
          <w:tcPr>
            <w:tcW w:w="2719" w:type="dxa"/>
            <w:gridSpan w:val="3"/>
            <w:vAlign w:val="center"/>
          </w:tcPr>
          <w:p w:rsidR="009A782C" w:rsidRDefault="009A782C">
            <w:pPr>
              <w:keepNext/>
              <w:keepLines/>
              <w:spacing w:line="320" w:lineRule="exact"/>
              <w:jc w:val="center"/>
              <w:outlineLvl w:val="0"/>
              <w:rPr>
                <w:rFonts w:ascii="仿宋_GB2312" w:eastAsia="仿宋_GB2312" w:hAnsi="仿宋_GB2312" w:cs="仿宋_GB2312"/>
                <w:sz w:val="24"/>
              </w:rPr>
            </w:pPr>
          </w:p>
        </w:tc>
      </w:tr>
      <w:tr w:rsidR="009A782C">
        <w:trPr>
          <w:cantSplit/>
          <w:trHeight w:val="704"/>
          <w:jc w:val="center"/>
        </w:trPr>
        <w:tc>
          <w:tcPr>
            <w:tcW w:w="2257" w:type="dxa"/>
            <w:gridSpan w:val="4"/>
            <w:vAlign w:val="center"/>
          </w:tcPr>
          <w:p w:rsidR="009A782C" w:rsidRDefault="00C844C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跨境融资风险</w:t>
            </w:r>
          </w:p>
          <w:p w:rsidR="009A782C" w:rsidRDefault="00C844C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加权余额</w:t>
            </w:r>
          </w:p>
        </w:tc>
        <w:tc>
          <w:tcPr>
            <w:tcW w:w="6215" w:type="dxa"/>
            <w:gridSpan w:val="15"/>
            <w:vAlign w:val="center"/>
          </w:tcPr>
          <w:p w:rsidR="009A782C" w:rsidRDefault="009A782C">
            <w:pPr>
              <w:keepNext/>
              <w:keepLines/>
              <w:spacing w:line="320" w:lineRule="exact"/>
              <w:jc w:val="center"/>
              <w:outlineLvl w:val="0"/>
              <w:rPr>
                <w:rFonts w:ascii="仿宋_GB2312" w:eastAsia="仿宋_GB2312" w:hAnsi="仿宋_GB2312" w:cs="仿宋_GB2312"/>
                <w:sz w:val="24"/>
              </w:rPr>
            </w:pPr>
          </w:p>
        </w:tc>
      </w:tr>
      <w:tr w:rsidR="009A782C">
        <w:trPr>
          <w:trHeight w:val="668"/>
          <w:jc w:val="center"/>
        </w:trPr>
        <w:tc>
          <w:tcPr>
            <w:tcW w:w="3205" w:type="dxa"/>
            <w:gridSpan w:val="5"/>
            <w:vAlign w:val="center"/>
          </w:tcPr>
          <w:p w:rsidR="009A782C" w:rsidRDefault="00C844C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跨境融资风险加权余额上限与跨境融资风险加权余额之差额</w:t>
            </w:r>
          </w:p>
        </w:tc>
        <w:tc>
          <w:tcPr>
            <w:tcW w:w="1840" w:type="dxa"/>
            <w:gridSpan w:val="7"/>
            <w:vAlign w:val="center"/>
          </w:tcPr>
          <w:p w:rsidR="009A782C" w:rsidRDefault="009A782C">
            <w:pPr>
              <w:spacing w:line="320" w:lineRule="exact"/>
              <w:jc w:val="center"/>
              <w:rPr>
                <w:rFonts w:ascii="仿宋_GB2312" w:eastAsia="仿宋_GB2312" w:hAnsi="仿宋_GB2312" w:cs="仿宋_GB2312"/>
                <w:sz w:val="24"/>
              </w:rPr>
            </w:pPr>
          </w:p>
        </w:tc>
        <w:tc>
          <w:tcPr>
            <w:tcW w:w="1633" w:type="dxa"/>
            <w:gridSpan w:val="6"/>
            <w:vAlign w:val="center"/>
          </w:tcPr>
          <w:p w:rsidR="009A782C" w:rsidRDefault="00C844C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是否超上限</w:t>
            </w:r>
          </w:p>
        </w:tc>
        <w:tc>
          <w:tcPr>
            <w:tcW w:w="1794" w:type="dxa"/>
            <w:vAlign w:val="center"/>
          </w:tcPr>
          <w:p w:rsidR="009A782C" w:rsidRDefault="00C844C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pacing w:val="-9"/>
                <w:sz w:val="18"/>
                <w:szCs w:val="18"/>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是</w:t>
            </w:r>
            <w:r>
              <w:rPr>
                <w:rFonts w:ascii="仿宋_GB2312" w:eastAsia="仿宋_GB2312" w:hAnsi="仿宋_GB2312" w:cs="仿宋_GB2312" w:hint="eastAsia"/>
                <w:sz w:val="24"/>
              </w:rPr>
              <w:t xml:space="preserve">  </w:t>
            </w:r>
            <w:r>
              <w:rPr>
                <w:rFonts w:ascii="仿宋_GB2312" w:eastAsia="仿宋_GB2312" w:hAnsi="仿宋_GB2312" w:cs="仿宋_GB2312" w:hint="eastAsia"/>
                <w:spacing w:val="-9"/>
                <w:sz w:val="18"/>
                <w:szCs w:val="18"/>
              </w:rPr>
              <w:t>□</w:t>
            </w:r>
            <w:r>
              <w:rPr>
                <w:rFonts w:ascii="仿宋_GB2312" w:eastAsia="仿宋_GB2312" w:hAnsi="仿宋_GB2312" w:cs="仿宋_GB2312" w:hint="eastAsia"/>
                <w:sz w:val="24"/>
              </w:rPr>
              <w:t>否</w:t>
            </w:r>
          </w:p>
        </w:tc>
      </w:tr>
      <w:tr w:rsidR="009A782C">
        <w:trPr>
          <w:trHeight w:val="1023"/>
          <w:jc w:val="center"/>
        </w:trPr>
        <w:tc>
          <w:tcPr>
            <w:tcW w:w="8472" w:type="dxa"/>
            <w:gridSpan w:val="19"/>
            <w:vAlign w:val="center"/>
          </w:tcPr>
          <w:p w:rsidR="009A782C" w:rsidRDefault="00C844CB">
            <w:pPr>
              <w:spacing w:line="320" w:lineRule="exact"/>
              <w:ind w:firstLineChars="200" w:firstLine="324"/>
              <w:jc w:val="left"/>
              <w:rPr>
                <w:rFonts w:ascii="仿宋_GB2312" w:eastAsia="仿宋_GB2312" w:hAnsi="仿宋_GB2312" w:cs="仿宋_GB2312"/>
                <w:sz w:val="24"/>
              </w:rPr>
            </w:pPr>
            <w:r>
              <w:rPr>
                <w:rFonts w:ascii="仿宋_GB2312" w:eastAsia="仿宋_GB2312" w:hAnsi="仿宋_GB2312" w:cs="仿宋_GB2312" w:hint="eastAsia"/>
                <w:spacing w:val="-9"/>
                <w:sz w:val="18"/>
                <w:szCs w:val="18"/>
              </w:rPr>
              <w:lastRenderedPageBreak/>
              <w:t>□</w:t>
            </w:r>
            <w:r>
              <w:rPr>
                <w:rFonts w:ascii="仿宋_GB2312" w:eastAsia="仿宋_GB2312" w:hAnsi="仿宋_GB2312" w:cs="仿宋_GB2312" w:hint="eastAsia"/>
                <w:spacing w:val="-9"/>
                <w:sz w:val="18"/>
                <w:szCs w:val="18"/>
              </w:rPr>
              <w:t xml:space="preserve"> </w:t>
            </w:r>
            <w:r>
              <w:rPr>
                <w:rFonts w:ascii="仿宋_GB2312" w:eastAsia="仿宋_GB2312" w:hAnsi="仿宋_GB2312" w:cs="仿宋_GB2312" w:hint="eastAsia"/>
                <w:sz w:val="24"/>
              </w:rPr>
              <w:t>本企业所填写的《非金融企业外债登记申请表（宏观审慎模式）》中各项内容及所提交的所有书面材料均真实有效，所有复印件与原件相同，本机构将严格按照相关规定认真履行相关职责，并及时准确地报送相关信息，否则本企业及其法定代表人将承担由此而导致的一切后果。</w:t>
            </w:r>
          </w:p>
          <w:p w:rsidR="009A782C" w:rsidRDefault="009A782C">
            <w:pPr>
              <w:spacing w:line="320" w:lineRule="exact"/>
              <w:ind w:firstLineChars="200" w:firstLine="480"/>
              <w:jc w:val="left"/>
              <w:rPr>
                <w:rFonts w:ascii="仿宋_GB2312" w:eastAsia="仿宋_GB2312" w:hAnsi="仿宋_GB2312" w:cs="仿宋_GB2312"/>
                <w:sz w:val="24"/>
              </w:rPr>
            </w:pPr>
          </w:p>
          <w:p w:rsidR="009A782C" w:rsidRDefault="00C844CB">
            <w:pPr>
              <w:spacing w:line="320" w:lineRule="exact"/>
              <w:ind w:firstLineChars="2700" w:firstLine="6480"/>
              <w:jc w:val="left"/>
              <w:rPr>
                <w:rFonts w:ascii="仿宋_GB2312" w:eastAsia="仿宋_GB2312" w:hAnsi="仿宋_GB2312" w:cs="仿宋_GB2312"/>
                <w:sz w:val="24"/>
              </w:rPr>
            </w:pPr>
            <w:r>
              <w:rPr>
                <w:rFonts w:ascii="仿宋_GB2312" w:eastAsia="仿宋_GB2312" w:hAnsi="仿宋_GB2312" w:cs="仿宋_GB2312" w:hint="eastAsia"/>
                <w:sz w:val="24"/>
              </w:rPr>
              <w:t>（公章）</w:t>
            </w:r>
          </w:p>
        </w:tc>
      </w:tr>
    </w:tbl>
    <w:p w:rsidR="009A782C" w:rsidRDefault="00C844CB">
      <w:pPr>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联系人：</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联系电话：</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填表时间：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p w:rsidR="009A782C" w:rsidRDefault="009A782C">
      <w:pPr>
        <w:widowControl/>
        <w:jc w:val="left"/>
        <w:rPr>
          <w:rFonts w:ascii="宋体" w:hAnsi="宋体"/>
          <w:sz w:val="24"/>
        </w:rPr>
      </w:pPr>
    </w:p>
    <w:p w:rsidR="009A782C" w:rsidRDefault="00C844CB" w:rsidP="00CB150D">
      <w:pPr>
        <w:widowControl/>
        <w:adjustRightInd w:val="0"/>
        <w:snapToGrid w:val="0"/>
        <w:spacing w:line="324" w:lineRule="auto"/>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填表说明：</w:t>
      </w:r>
    </w:p>
    <w:p w:rsidR="009A782C" w:rsidRDefault="00C844CB">
      <w:pPr>
        <w:pStyle w:val="a7"/>
        <w:adjustRightInd w:val="0"/>
        <w:spacing w:line="324" w:lineRule="auto"/>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外币跨境融资以签约日的汇率水平折算。</w:t>
      </w:r>
    </w:p>
    <w:p w:rsidR="009A782C" w:rsidRDefault="00C844CB">
      <w:pPr>
        <w:widowControl/>
        <w:adjustRightInd w:val="0"/>
        <w:snapToGrid w:val="0"/>
        <w:spacing w:line="324"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“债务人类型”请按以下分类填写：“国有企业”、“民营企业”、“其他中资企业”、“独资企业”、“合资企业</w:t>
      </w:r>
      <w:r>
        <w:rPr>
          <w:rFonts w:ascii="仿宋_GB2312" w:eastAsia="仿宋_GB2312" w:hAnsi="仿宋_GB2312" w:cs="仿宋_GB2312" w:hint="eastAsia"/>
          <w:sz w:val="28"/>
          <w:szCs w:val="28"/>
        </w:rPr>
        <w:t>”、“合作企业”。</w:t>
      </w:r>
    </w:p>
    <w:p w:rsidR="009A782C" w:rsidRDefault="00C844CB">
      <w:pPr>
        <w:widowControl/>
        <w:adjustRightInd w:val="0"/>
        <w:snapToGrid w:val="0"/>
        <w:spacing w:line="324"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债务类型”请按以下分类填写：“从境外母公司贷款”、“从境外子公司贷款”、“从联属企业贷款”、“非股东及非关联企业贷款”、“境外金融机构贷款”、“银团贷款”、“补偿贸易中需现汇偿还的债务”、“债券和票据”、“融资租赁”、“其他贷款”。</w:t>
      </w:r>
    </w:p>
    <w:p w:rsidR="009A782C" w:rsidRDefault="00C844CB">
      <w:pPr>
        <w:widowControl/>
        <w:adjustRightInd w:val="0"/>
        <w:snapToGrid w:val="0"/>
        <w:spacing w:line="324"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“豁免类型”仅“是否占用外债额度”选择为“否”时，需按以下分类填写：“自用熊猫债”、“其他豁免”。</w:t>
      </w:r>
    </w:p>
    <w:p w:rsidR="009A782C" w:rsidRDefault="00C844CB">
      <w:pPr>
        <w:widowControl/>
        <w:adjustRightInd w:val="0"/>
        <w:snapToGrid w:val="0"/>
        <w:spacing w:line="324"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“内保外贷业务编号”及“调回金额占比</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”仅“是否内保外贷资金调回境内”选择为“是”时填写。</w:t>
      </w:r>
    </w:p>
    <w:p w:rsidR="009A782C" w:rsidRDefault="00C844CB">
      <w:pPr>
        <w:pStyle w:val="a7"/>
        <w:adjustRightInd w:val="0"/>
        <w:spacing w:line="324" w:lineRule="auto"/>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“净资产”根据债务人上年度或最近一期经审计的财务报告填写。</w:t>
      </w:r>
    </w:p>
    <w:p w:rsidR="009A782C" w:rsidRDefault="00C844CB">
      <w:pPr>
        <w:pStyle w:val="a7"/>
        <w:adjustRightInd w:val="0"/>
        <w:spacing w:line="324" w:lineRule="auto"/>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“跨境融资风险加权余额上限”</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净资产×跨境融资杠杆率×宏观审慎调节参数。</w:t>
      </w:r>
    </w:p>
    <w:p w:rsidR="009A782C" w:rsidRDefault="00C844CB">
      <w:pPr>
        <w:pStyle w:val="a7"/>
        <w:adjustRightInd w:val="0"/>
        <w:spacing w:line="324" w:lineRule="auto"/>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计算跨境融资风险加权余额占用情况时，已进行全额提款的非循环类贷款按未偿本金余额占用跨境融资风险加权余额；由于外保内贷履约形成的对外负债按履约额占用跨境融资风险加权余额；其他外债（循环贷款、未提款或部分提款的非循环贷款，含正在申请登记的本笔外债）按签约额占用跨境融资风险加权余额。</w:t>
      </w:r>
    </w:p>
    <w:p w:rsidR="009A782C" w:rsidRDefault="00C844CB">
      <w:pPr>
        <w:pStyle w:val="a7"/>
        <w:adjustRightInd w:val="0"/>
        <w:spacing w:line="324" w:lineRule="auto"/>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跨境融资风险加权余额</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∑本外币跨境融资余额×期限风险转换因子</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∑外币跨境融资余额×</w:t>
      </w:r>
      <w:r>
        <w:rPr>
          <w:rFonts w:ascii="仿宋_GB2312" w:eastAsia="仿宋_GB2312" w:hAnsi="仿宋_GB2312" w:cs="仿宋_GB2312" w:hint="eastAsia"/>
          <w:sz w:val="28"/>
          <w:szCs w:val="28"/>
        </w:rPr>
        <w:t>汇率风险折算因子。期限风险转换因子按照签</w:t>
      </w:r>
      <w:r>
        <w:rPr>
          <w:rFonts w:ascii="仿宋_GB2312" w:eastAsia="仿宋_GB2312" w:hAnsi="仿宋_GB2312" w:cs="仿宋_GB2312" w:hint="eastAsia"/>
          <w:sz w:val="28"/>
          <w:szCs w:val="28"/>
        </w:rPr>
        <w:lastRenderedPageBreak/>
        <w:t>约期限确定，还款期限在</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年（不含）以上的中长期跨境融资、还款期限在</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年（含）以下的短期跨境融资期限风险转换因子分别为</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1.5</w:t>
      </w:r>
      <w:r>
        <w:rPr>
          <w:rFonts w:ascii="仿宋_GB2312" w:eastAsia="仿宋_GB2312" w:hAnsi="仿宋_GB2312" w:cs="仿宋_GB2312" w:hint="eastAsia"/>
          <w:sz w:val="28"/>
          <w:szCs w:val="28"/>
        </w:rPr>
        <w:t>；汇率风险折算因子为</w:t>
      </w:r>
      <w:r>
        <w:rPr>
          <w:rFonts w:ascii="仿宋_GB2312" w:eastAsia="仿宋_GB2312" w:hAnsi="仿宋_GB2312" w:cs="仿宋_GB2312" w:hint="eastAsia"/>
          <w:sz w:val="28"/>
          <w:szCs w:val="28"/>
        </w:rPr>
        <w:t>0.5</w:t>
      </w:r>
      <w:r>
        <w:rPr>
          <w:rFonts w:ascii="仿宋_GB2312" w:eastAsia="仿宋_GB2312" w:hAnsi="仿宋_GB2312" w:cs="仿宋_GB2312" w:hint="eastAsia"/>
          <w:sz w:val="28"/>
          <w:szCs w:val="28"/>
        </w:rPr>
        <w:t>。外债合同中包含提前还款条款的，除非提前还款条款明确在合同签约一年后方可提前还款，该合同对应的外债金额全部视同短期跨境融资适用期限风险转换因子。</w:t>
      </w:r>
    </w:p>
    <w:p w:rsidR="009A782C" w:rsidRDefault="00C844CB">
      <w:pPr>
        <w:adjustRightInd w:val="0"/>
        <w:snapToGrid w:val="0"/>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附件</w:t>
      </w:r>
      <w:r>
        <w:rPr>
          <w:rFonts w:ascii="黑体" w:eastAsia="黑体" w:hAnsi="黑体" w:hint="eastAsia"/>
          <w:sz w:val="32"/>
          <w:szCs w:val="32"/>
        </w:rPr>
        <w:t>2</w:t>
      </w:r>
    </w:p>
    <w:p w:rsidR="009A782C" w:rsidRDefault="009A782C">
      <w:pPr>
        <w:adjustRightInd w:val="0"/>
        <w:snapToGrid w:val="0"/>
        <w:rPr>
          <w:rFonts w:ascii="黑体" w:eastAsia="黑体" w:hAnsi="黑体"/>
          <w:sz w:val="32"/>
          <w:szCs w:val="32"/>
        </w:rPr>
      </w:pPr>
    </w:p>
    <w:p w:rsidR="009A782C" w:rsidRDefault="00C844CB">
      <w:pPr>
        <w:adjustRightInd w:val="0"/>
        <w:snapToGrid w:val="0"/>
        <w:contextualSpacing/>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银行办理境内公司境外上市登记及</w:t>
      </w:r>
    </w:p>
    <w:p w:rsidR="009A782C" w:rsidRDefault="00C844CB">
      <w:pPr>
        <w:adjustRightInd w:val="0"/>
        <w:snapToGrid w:val="0"/>
        <w:contextualSpacing/>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变更、注销登记业务实施细则</w:t>
      </w:r>
    </w:p>
    <w:p w:rsidR="009A782C" w:rsidRDefault="009A782C">
      <w:pPr>
        <w:contextualSpacing/>
        <w:jc w:val="left"/>
        <w:rPr>
          <w:rFonts w:ascii="仿宋_GB2312" w:eastAsia="仿宋_GB2312" w:hAnsi="仿宋_GB2312" w:cs="仿宋_GB2312"/>
          <w:sz w:val="32"/>
          <w:szCs w:val="32"/>
        </w:rPr>
      </w:pPr>
    </w:p>
    <w:p w:rsidR="009A782C" w:rsidRDefault="00C844CB">
      <w:pPr>
        <w:numPr>
          <w:ilvl w:val="0"/>
          <w:numId w:val="1"/>
        </w:numPr>
        <w:adjustRightInd w:val="0"/>
        <w:snapToGrid w:val="0"/>
        <w:spacing w:line="324" w:lineRule="auto"/>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为便利银行办理境内公司境外上市登记，提高企业资金使用效率，制定本实施细则。</w:t>
      </w:r>
    </w:p>
    <w:p w:rsidR="009A782C" w:rsidRDefault="00C844CB">
      <w:pPr>
        <w:numPr>
          <w:ilvl w:val="0"/>
          <w:numId w:val="1"/>
        </w:numPr>
        <w:adjustRightInd w:val="0"/>
        <w:snapToGrid w:val="0"/>
        <w:spacing w:line="324" w:lineRule="auto"/>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在雄安新区内注册的境内非金融企业（房地产企业、地方政府融资平台、融资租赁公司、融资担保公司、商业保理公司、地方资产管理公司、小额贷款公司、典当行除外）原则上应在境外发行活动结束之日起或超额配售完成后</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个工作日内向国家外汇管理局雄安新区分局（以下简称雄安新区分局）辖</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内银行申请办理境外上市登记</w:t>
      </w:r>
      <w:r>
        <w:rPr>
          <w:rFonts w:ascii="仿宋_GB2312" w:eastAsia="仿宋_GB2312" w:hAnsi="仿宋_GB2312" w:cs="仿宋_GB2312"/>
          <w:sz w:val="32"/>
          <w:szCs w:val="32"/>
        </w:rPr>
        <w:t>，并需提供以下材料：</w:t>
      </w:r>
    </w:p>
    <w:p w:rsidR="009A782C" w:rsidRDefault="00C844CB">
      <w:pPr>
        <w:adjustRightInd w:val="0"/>
        <w:snapToGrid w:val="0"/>
        <w:spacing w:line="324" w:lineRule="auto"/>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《境外上市登记表》（见附，必要时附书面申请）。</w:t>
      </w:r>
    </w:p>
    <w:p w:rsidR="009A782C" w:rsidRDefault="00C844CB">
      <w:pPr>
        <w:adjustRightInd w:val="0"/>
        <w:snapToGrid w:val="0"/>
        <w:spacing w:line="324" w:lineRule="auto"/>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中国</w:t>
      </w:r>
      <w:r>
        <w:rPr>
          <w:rFonts w:ascii="仿宋_GB2312" w:eastAsia="仿宋_GB2312" w:hAnsi="仿宋_GB2312" w:cs="仿宋_GB2312" w:hint="eastAsia"/>
          <w:sz w:val="32"/>
          <w:szCs w:val="32"/>
        </w:rPr>
        <w:t>证监会</w:t>
      </w:r>
      <w:r>
        <w:rPr>
          <w:rFonts w:ascii="仿宋_GB2312" w:eastAsia="仿宋_GB2312" w:hAnsi="仿宋_GB2312" w:cs="仿宋_GB2312" w:hint="eastAsia"/>
          <w:sz w:val="32"/>
          <w:szCs w:val="32"/>
        </w:rPr>
        <w:t>（以下简称证监会）</w:t>
      </w:r>
      <w:r>
        <w:rPr>
          <w:rFonts w:ascii="仿宋_GB2312" w:eastAsia="仿宋_GB2312" w:hAnsi="仿宋_GB2312" w:cs="仿宋_GB2312" w:hint="eastAsia"/>
          <w:sz w:val="32"/>
          <w:szCs w:val="32"/>
        </w:rPr>
        <w:t>关于境内公司境外上市的备案文件（按证监会要求无需事前备案的除外）。</w:t>
      </w:r>
    </w:p>
    <w:p w:rsidR="009A782C" w:rsidRDefault="00C844CB">
      <w:pPr>
        <w:adjustRightInd w:val="0"/>
        <w:snapToGrid w:val="0"/>
        <w:spacing w:line="324" w:lineRule="auto"/>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境外发行或超额配售完成的公告文件。</w:t>
      </w:r>
    </w:p>
    <w:p w:rsidR="009A782C" w:rsidRDefault="00C844CB">
      <w:pPr>
        <w:adjustRightInd w:val="0"/>
        <w:snapToGrid w:val="0"/>
        <w:spacing w:line="324" w:lineRule="auto"/>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sz w:val="32"/>
          <w:szCs w:val="32"/>
        </w:rPr>
        <w:t>第</w:t>
      </w:r>
      <w:r>
        <w:rPr>
          <w:rFonts w:ascii="仿宋_GB2312" w:eastAsia="仿宋_GB2312" w:hAnsi="仿宋_GB2312" w:cs="仿宋_GB2312" w:hint="eastAsia"/>
          <w:sz w:val="32"/>
          <w:szCs w:val="32"/>
        </w:rPr>
        <w:t>三</w:t>
      </w:r>
      <w:r>
        <w:rPr>
          <w:rFonts w:ascii="仿宋_GB2312" w:eastAsia="仿宋_GB2312" w:hAnsi="仿宋_GB2312" w:cs="仿宋_GB2312"/>
          <w:sz w:val="32"/>
          <w:szCs w:val="32"/>
        </w:rPr>
        <w:t>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企业（</w:t>
      </w:r>
      <w:r>
        <w:rPr>
          <w:rFonts w:ascii="仿宋_GB2312" w:eastAsia="仿宋_GB2312" w:hAnsi="仿宋_GB2312" w:cs="仿宋_GB2312" w:hint="eastAsia"/>
          <w:sz w:val="32"/>
          <w:szCs w:val="32"/>
        </w:rPr>
        <w:t>H</w:t>
      </w:r>
      <w:r>
        <w:rPr>
          <w:rFonts w:ascii="仿宋_GB2312" w:eastAsia="仿宋_GB2312" w:hAnsi="仿宋_GB2312" w:cs="仿宋_GB2312" w:hint="eastAsia"/>
          <w:sz w:val="32"/>
          <w:szCs w:val="32"/>
        </w:rPr>
        <w:t>股上市公司）发生如下情形，应及时办理变更（注销）登记：</w:t>
      </w:r>
    </w:p>
    <w:p w:rsidR="009A782C" w:rsidRDefault="00C844CB">
      <w:pPr>
        <w:adjustRightInd w:val="0"/>
        <w:snapToGrid w:val="0"/>
        <w:spacing w:line="324" w:lineRule="auto"/>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（一）境外上市公司名称、注册地址、主要股东信息等发生变更；</w:t>
      </w:r>
    </w:p>
    <w:p w:rsidR="009A782C" w:rsidRDefault="00C844CB">
      <w:pPr>
        <w:adjustRightInd w:val="0"/>
        <w:snapToGrid w:val="0"/>
        <w:spacing w:line="324" w:lineRule="auto"/>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（二）完成境外股份回购，将可转换债券转为股票，资本公积、盈余公积、未分配利润转增股本等导致资本变动；</w:t>
      </w:r>
    </w:p>
    <w:p w:rsidR="009A782C" w:rsidRDefault="00C844CB">
      <w:pPr>
        <w:adjustRightInd w:val="0"/>
        <w:snapToGrid w:val="0"/>
        <w:spacing w:line="324" w:lineRule="auto"/>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（三）境内股东增持、减持、转让、受让境外股份计划实施</w:t>
      </w:r>
      <w:r>
        <w:rPr>
          <w:rFonts w:ascii="仿宋_GB2312" w:eastAsia="仿宋_GB2312" w:hAnsi="仿宋_GB2312" w:cs="仿宋_GB2312" w:hint="eastAsia"/>
          <w:sz w:val="32"/>
          <w:szCs w:val="32"/>
        </w:rPr>
        <w:lastRenderedPageBreak/>
        <w:t>完毕使得境外上市公司股权结构发生变化；</w:t>
      </w:r>
    </w:p>
    <w:p w:rsidR="009A782C" w:rsidRDefault="00C844CB">
      <w:pPr>
        <w:adjustRightInd w:val="0"/>
        <w:snapToGrid w:val="0"/>
        <w:spacing w:line="324" w:lineRule="auto"/>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sz w:val="32"/>
          <w:szCs w:val="32"/>
        </w:rPr>
        <w:t>境外上市前境内股东持有的内资股、境外上市后在境内增发的内资股或外资股东持有的未上市流通股份经证监会备案进行</w:t>
      </w:r>
      <w:r>
        <w:rPr>
          <w:rFonts w:ascii="仿宋_GB2312" w:eastAsia="仿宋_GB2312" w:hAnsi="仿宋_GB2312" w:cs="仿宋_GB2312"/>
          <w:sz w:val="32"/>
          <w:szCs w:val="32"/>
        </w:rPr>
        <w:t>H</w:t>
      </w:r>
      <w:r>
        <w:rPr>
          <w:rFonts w:ascii="仿宋_GB2312" w:eastAsia="仿宋_GB2312" w:hAnsi="仿宋_GB2312" w:cs="仿宋_GB2312"/>
          <w:sz w:val="32"/>
          <w:szCs w:val="32"/>
        </w:rPr>
        <w:t>股</w:t>
      </w:r>
      <w:r>
        <w:rPr>
          <w:rFonts w:ascii="仿宋_GB2312" w:eastAsia="仿宋_GB2312" w:hAnsi="仿宋_GB2312" w:cs="仿宋_GB2312"/>
          <w:sz w:val="32"/>
          <w:szCs w:val="32"/>
        </w:rPr>
        <w:t>“</w:t>
      </w:r>
      <w:r>
        <w:rPr>
          <w:rFonts w:ascii="仿宋_GB2312" w:eastAsia="仿宋_GB2312" w:hAnsi="仿宋_GB2312" w:cs="仿宋_GB2312"/>
          <w:sz w:val="32"/>
          <w:szCs w:val="32"/>
        </w:rPr>
        <w:t>全流通</w:t>
      </w:r>
      <w:r>
        <w:rPr>
          <w:rFonts w:ascii="仿宋_GB2312" w:eastAsia="仿宋_GB2312" w:hAnsi="仿宋_GB2312" w:cs="仿宋_GB2312"/>
          <w:sz w:val="32"/>
          <w:szCs w:val="32"/>
        </w:rPr>
        <w:t>”</w:t>
      </w:r>
      <w:r>
        <w:rPr>
          <w:rFonts w:ascii="仿宋_GB2312" w:eastAsia="仿宋_GB2312" w:hAnsi="仿宋_GB2312" w:cs="仿宋_GB2312"/>
          <w:sz w:val="32"/>
          <w:szCs w:val="32"/>
        </w:rPr>
        <w:t>；</w:t>
      </w:r>
    </w:p>
    <w:p w:rsidR="009A782C" w:rsidRDefault="00C844CB">
      <w:pPr>
        <w:adjustRightInd w:val="0"/>
        <w:snapToGrid w:val="0"/>
        <w:spacing w:line="324" w:lineRule="auto"/>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（五）增发（含超额配售、向境内特定对象发行证券购买资产）股份。</w:t>
      </w:r>
    </w:p>
    <w:p w:rsidR="009A782C" w:rsidRDefault="00C844CB">
      <w:pPr>
        <w:adjustRightInd w:val="0"/>
        <w:snapToGrid w:val="0"/>
        <w:spacing w:line="324" w:lineRule="auto"/>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发生第（四）、（五）项情形的，应在变更事项完成之日起</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个工作日内申请办理境外上市变更登记。</w:t>
      </w:r>
    </w:p>
    <w:p w:rsidR="009A782C" w:rsidRDefault="00C844CB">
      <w:pPr>
        <w:adjustRightInd w:val="0"/>
        <w:snapToGrid w:val="0"/>
        <w:spacing w:line="324" w:lineRule="auto"/>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境内公司（不含银行）境外发行可转换为股票的公司债券以及发行非参与型优先股，参照外债管理规定办理外债登记、开户、汇兑等。境内公司将可转换债券转为股票的，需按规定办理外债变更或注销登记（允许转入结算账户）以及境外上市变更登记。</w:t>
      </w:r>
    </w:p>
    <w:p w:rsidR="009A782C" w:rsidRDefault="00C844CB">
      <w:pPr>
        <w:adjustRightInd w:val="0"/>
        <w:snapToGrid w:val="0"/>
        <w:spacing w:line="324" w:lineRule="auto"/>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可转换债券若一次性转股，应在转股后</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个工作日内申请办理境外上市变更登记；若分多批次转股，可选择在年末集中就当年发生的转股办理境外</w:t>
      </w:r>
      <w:r>
        <w:rPr>
          <w:rFonts w:ascii="仿宋_GB2312" w:eastAsia="仿宋_GB2312" w:hAnsi="仿宋_GB2312" w:cs="仿宋_GB2312" w:hint="eastAsia"/>
          <w:sz w:val="32"/>
          <w:szCs w:val="32"/>
        </w:rPr>
        <w:t>上市变更登记；若部分转股后，发生可转换债券强制赎回、到期中止交易等事件，应在事件发生后</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个工作日内就已转股部分办理境外上市变更登记。</w:t>
      </w:r>
    </w:p>
    <w:p w:rsidR="009A782C" w:rsidRDefault="00C844CB">
      <w:pPr>
        <w:adjustRightInd w:val="0"/>
        <w:snapToGrid w:val="0"/>
        <w:spacing w:line="324" w:lineRule="auto"/>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境内公司从境外证券市场退市的，应及时办理境外上市登记注销。</w:t>
      </w:r>
    </w:p>
    <w:p w:rsidR="009A782C" w:rsidRDefault="00C844CB">
      <w:pPr>
        <w:adjustRightInd w:val="0"/>
        <w:snapToGrid w:val="0"/>
        <w:spacing w:line="324" w:lineRule="auto"/>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sz w:val="32"/>
          <w:szCs w:val="32"/>
        </w:rPr>
        <w:t>第</w:t>
      </w:r>
      <w:r>
        <w:rPr>
          <w:rFonts w:ascii="仿宋_GB2312" w:eastAsia="仿宋_GB2312" w:hAnsi="仿宋_GB2312" w:cs="仿宋_GB2312" w:hint="eastAsia"/>
          <w:sz w:val="32"/>
          <w:szCs w:val="32"/>
        </w:rPr>
        <w:t>四</w:t>
      </w:r>
      <w:r>
        <w:rPr>
          <w:rFonts w:ascii="仿宋_GB2312" w:eastAsia="仿宋_GB2312" w:hAnsi="仿宋_GB2312" w:cs="仿宋_GB2312"/>
          <w:sz w:val="32"/>
          <w:szCs w:val="32"/>
        </w:rPr>
        <w:t>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企业申请办理境外上市变更（注销）登记，需提供以下材料：</w:t>
      </w:r>
    </w:p>
    <w:p w:rsidR="009A782C" w:rsidRDefault="00C844CB">
      <w:pPr>
        <w:adjustRightInd w:val="0"/>
        <w:snapToGrid w:val="0"/>
        <w:spacing w:line="324" w:lineRule="auto"/>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sz w:val="32"/>
          <w:szCs w:val="32"/>
        </w:rPr>
        <w:t>（一）变更登记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一般情形</w:t>
      </w:r>
      <w:r>
        <w:rPr>
          <w:rFonts w:ascii="仿宋_GB2312" w:eastAsia="仿宋_GB2312" w:hAnsi="仿宋_GB2312" w:cs="仿宋_GB2312"/>
          <w:sz w:val="32"/>
          <w:szCs w:val="32"/>
        </w:rPr>
        <w:t>：</w:t>
      </w:r>
    </w:p>
    <w:p w:rsidR="009A782C" w:rsidRDefault="00C844CB">
      <w:pPr>
        <w:adjustRightInd w:val="0"/>
        <w:snapToGrid w:val="0"/>
        <w:spacing w:line="324" w:lineRule="auto"/>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《境外上市登记表》（见附，必要时附书面申请）。</w:t>
      </w:r>
    </w:p>
    <w:p w:rsidR="009A782C" w:rsidRDefault="00C844CB">
      <w:pPr>
        <w:adjustRightInd w:val="0"/>
        <w:snapToGrid w:val="0"/>
        <w:spacing w:line="324" w:lineRule="auto"/>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证监会关于变更事项的相关批复或备案文件（如有）。</w:t>
      </w:r>
    </w:p>
    <w:p w:rsidR="009A782C" w:rsidRDefault="00C844CB">
      <w:pPr>
        <w:adjustRightInd w:val="0"/>
        <w:snapToGrid w:val="0"/>
        <w:spacing w:line="324" w:lineRule="auto"/>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Pr>
          <w:rFonts w:ascii="仿宋_GB2312" w:eastAsia="仿宋_GB2312" w:hAnsi="仿宋_GB2312" w:cs="仿宋_GB2312" w:hint="eastAsia"/>
          <w:sz w:val="32"/>
          <w:szCs w:val="32"/>
        </w:rPr>
        <w:t>变更事项相关证明材料。</w:t>
      </w:r>
    </w:p>
    <w:p w:rsidR="009A782C" w:rsidRDefault="00C844CB">
      <w:pPr>
        <w:adjustRightInd w:val="0"/>
        <w:snapToGrid w:val="0"/>
        <w:spacing w:line="324" w:lineRule="auto"/>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（二）变更登记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H</w:t>
      </w:r>
      <w:r>
        <w:rPr>
          <w:rFonts w:ascii="仿宋_GB2312" w:eastAsia="仿宋_GB2312" w:hAnsi="仿宋_GB2312" w:cs="仿宋_GB2312" w:hint="eastAsia"/>
          <w:sz w:val="32"/>
          <w:szCs w:val="32"/>
        </w:rPr>
        <w:t>股“全流通”：</w:t>
      </w:r>
    </w:p>
    <w:p w:rsidR="009A782C" w:rsidRDefault="00C844CB">
      <w:pPr>
        <w:adjustRightInd w:val="0"/>
        <w:snapToGrid w:val="0"/>
        <w:spacing w:line="324" w:lineRule="auto"/>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《境外上市登记表》（必要时附书面申请，含获准</w:t>
      </w:r>
      <w:r>
        <w:rPr>
          <w:rFonts w:ascii="仿宋_GB2312" w:eastAsia="仿宋_GB2312" w:hAnsi="仿宋_GB2312" w:cs="仿宋_GB2312" w:hint="eastAsia"/>
          <w:sz w:val="32"/>
          <w:szCs w:val="32"/>
        </w:rPr>
        <w:t>H</w:t>
      </w:r>
      <w:r>
        <w:rPr>
          <w:rFonts w:ascii="仿宋_GB2312" w:eastAsia="仿宋_GB2312" w:hAnsi="仿宋_GB2312" w:cs="仿宋_GB2312" w:hint="eastAsia"/>
          <w:sz w:val="32"/>
          <w:szCs w:val="32"/>
        </w:rPr>
        <w:t>股“全流通”后，参与“全流通”的境内股东</w:t>
      </w:r>
      <w:r>
        <w:rPr>
          <w:rFonts w:ascii="仿宋_GB2312" w:eastAsia="仿宋_GB2312" w:hAnsi="仿宋_GB2312" w:cs="仿宋_GB2312" w:hint="eastAsia"/>
          <w:sz w:val="32"/>
          <w:szCs w:val="32"/>
        </w:rPr>
        <w:t>H</w:t>
      </w:r>
      <w:r>
        <w:rPr>
          <w:rFonts w:ascii="仿宋_GB2312" w:eastAsia="仿宋_GB2312" w:hAnsi="仿宋_GB2312" w:cs="仿宋_GB2312" w:hint="eastAsia"/>
          <w:sz w:val="32"/>
          <w:szCs w:val="32"/>
        </w:rPr>
        <w:t>股持股信息等）。</w:t>
      </w:r>
    </w:p>
    <w:p w:rsidR="009A782C" w:rsidRDefault="00C844CB">
      <w:pPr>
        <w:adjustRightInd w:val="0"/>
        <w:snapToGrid w:val="0"/>
        <w:spacing w:line="324" w:lineRule="auto"/>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证监会关于</w:t>
      </w:r>
      <w:r>
        <w:rPr>
          <w:rFonts w:ascii="仿宋_GB2312" w:eastAsia="仿宋_GB2312" w:hAnsi="仿宋_GB2312" w:cs="仿宋_GB2312" w:hint="eastAsia"/>
          <w:sz w:val="32"/>
          <w:szCs w:val="32"/>
        </w:rPr>
        <w:t>H</w:t>
      </w:r>
      <w:r>
        <w:rPr>
          <w:rFonts w:ascii="仿宋_GB2312" w:eastAsia="仿宋_GB2312" w:hAnsi="仿宋_GB2312" w:cs="仿宋_GB2312" w:hint="eastAsia"/>
          <w:sz w:val="32"/>
          <w:szCs w:val="32"/>
        </w:rPr>
        <w:t>股“全流通”业务的备案文件。</w:t>
      </w:r>
    </w:p>
    <w:p w:rsidR="009A782C" w:rsidRDefault="00C844CB">
      <w:pPr>
        <w:adjustRightInd w:val="0"/>
        <w:snapToGrid w:val="0"/>
        <w:spacing w:line="324" w:lineRule="auto"/>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境外上市公司关于开展</w:t>
      </w:r>
      <w:r>
        <w:rPr>
          <w:rFonts w:ascii="仿宋_GB2312" w:eastAsia="仿宋_GB2312" w:hAnsi="仿宋_GB2312" w:cs="仿宋_GB2312" w:hint="eastAsia"/>
          <w:sz w:val="32"/>
          <w:szCs w:val="32"/>
        </w:rPr>
        <w:t>H</w:t>
      </w:r>
      <w:r>
        <w:rPr>
          <w:rFonts w:ascii="仿宋_GB2312" w:eastAsia="仿宋_GB2312" w:hAnsi="仿宋_GB2312" w:cs="仿宋_GB2312" w:hint="eastAsia"/>
          <w:sz w:val="32"/>
          <w:szCs w:val="32"/>
        </w:rPr>
        <w:t>股“全流通”业务的公告文件。</w:t>
      </w:r>
    </w:p>
    <w:p w:rsidR="009A782C" w:rsidRDefault="00C844CB">
      <w:pPr>
        <w:adjustRightInd w:val="0"/>
        <w:snapToGrid w:val="0"/>
        <w:spacing w:line="324" w:lineRule="auto"/>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注销登记</w:t>
      </w:r>
      <w:r>
        <w:rPr>
          <w:rFonts w:ascii="仿宋_GB2312" w:eastAsia="仿宋_GB2312" w:hAnsi="仿宋_GB2312" w:cs="仿宋_GB2312"/>
          <w:sz w:val="32"/>
          <w:szCs w:val="32"/>
        </w:rPr>
        <w:t>：</w:t>
      </w:r>
    </w:p>
    <w:p w:rsidR="009A782C" w:rsidRDefault="00C844CB">
      <w:pPr>
        <w:adjustRightInd w:val="0"/>
        <w:snapToGrid w:val="0"/>
        <w:spacing w:line="324" w:lineRule="auto"/>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书面申请。</w:t>
      </w:r>
    </w:p>
    <w:p w:rsidR="009A782C" w:rsidRDefault="00C844CB">
      <w:pPr>
        <w:adjustRightInd w:val="0"/>
        <w:snapToGrid w:val="0"/>
        <w:spacing w:line="324" w:lineRule="auto"/>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退市公告。</w:t>
      </w:r>
    </w:p>
    <w:p w:rsidR="009A782C" w:rsidRDefault="00C844CB">
      <w:pPr>
        <w:adjustRightInd w:val="0"/>
        <w:snapToGrid w:val="0"/>
        <w:spacing w:line="324" w:lineRule="auto"/>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证监会关于注销事项的相关批复或备案文件（如有）。</w:t>
      </w:r>
    </w:p>
    <w:p w:rsidR="009A782C" w:rsidRDefault="00C844CB">
      <w:pPr>
        <w:adjustRightInd w:val="0"/>
        <w:snapToGrid w:val="0"/>
        <w:spacing w:line="324" w:lineRule="auto"/>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sz w:val="32"/>
          <w:szCs w:val="32"/>
        </w:rPr>
        <w:t>第</w:t>
      </w:r>
      <w:r>
        <w:rPr>
          <w:rFonts w:ascii="仿宋_GB2312" w:eastAsia="仿宋_GB2312" w:hAnsi="仿宋_GB2312" w:cs="仿宋_GB2312" w:hint="eastAsia"/>
          <w:sz w:val="32"/>
          <w:szCs w:val="32"/>
        </w:rPr>
        <w:t>五</w:t>
      </w:r>
      <w:r>
        <w:rPr>
          <w:rFonts w:ascii="仿宋_GB2312" w:eastAsia="仿宋_GB2312" w:hAnsi="仿宋_GB2312" w:cs="仿宋_GB2312"/>
          <w:sz w:val="32"/>
          <w:szCs w:val="32"/>
        </w:rPr>
        <w:t>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企业变更（注销）业务或事项应符合证监会相关管理要求。参与</w:t>
      </w:r>
      <w:r>
        <w:rPr>
          <w:rFonts w:ascii="仿宋_GB2312" w:eastAsia="仿宋_GB2312" w:hAnsi="仿宋_GB2312" w:cs="仿宋_GB2312" w:hint="eastAsia"/>
          <w:sz w:val="32"/>
          <w:szCs w:val="32"/>
        </w:rPr>
        <w:t>H</w:t>
      </w:r>
      <w:r>
        <w:rPr>
          <w:rFonts w:ascii="仿宋_GB2312" w:eastAsia="仿宋_GB2312" w:hAnsi="仿宋_GB2312" w:cs="仿宋_GB2312" w:hint="eastAsia"/>
          <w:sz w:val="32"/>
          <w:szCs w:val="32"/>
        </w:rPr>
        <w:t>股“全流通”的境内股东</w:t>
      </w:r>
      <w:r>
        <w:rPr>
          <w:rFonts w:ascii="仿宋_GB2312" w:eastAsia="仿宋_GB2312" w:hAnsi="仿宋_GB2312" w:cs="仿宋_GB2312" w:hint="eastAsia"/>
          <w:sz w:val="32"/>
          <w:szCs w:val="32"/>
        </w:rPr>
        <w:t>H</w:t>
      </w:r>
      <w:r>
        <w:rPr>
          <w:rFonts w:ascii="仿宋_GB2312" w:eastAsia="仿宋_GB2312" w:hAnsi="仿宋_GB2312" w:cs="仿宋_GB2312" w:hint="eastAsia"/>
          <w:sz w:val="32"/>
          <w:szCs w:val="32"/>
        </w:rPr>
        <w:t>股持股信息与证监会备案内容一致。</w:t>
      </w:r>
    </w:p>
    <w:p w:rsidR="009A782C" w:rsidRDefault="00C844CB">
      <w:pPr>
        <w:adjustRightInd w:val="0"/>
        <w:snapToGrid w:val="0"/>
        <w:spacing w:line="324" w:lineRule="auto"/>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企业在境外上市（首发或增发）备案时同时获批参与</w:t>
      </w:r>
      <w:r>
        <w:rPr>
          <w:rFonts w:ascii="仿宋_GB2312" w:eastAsia="仿宋_GB2312" w:hAnsi="仿宋_GB2312" w:cs="仿宋_GB2312" w:hint="eastAsia"/>
          <w:sz w:val="32"/>
          <w:szCs w:val="32"/>
        </w:rPr>
        <w:t>H</w:t>
      </w:r>
      <w:r>
        <w:rPr>
          <w:rFonts w:ascii="仿宋_GB2312" w:eastAsia="仿宋_GB2312" w:hAnsi="仿宋_GB2312" w:cs="仿宋_GB2312" w:hint="eastAsia"/>
          <w:sz w:val="32"/>
          <w:szCs w:val="32"/>
        </w:rPr>
        <w:t>股“全流通”的，</w:t>
      </w:r>
      <w:r>
        <w:rPr>
          <w:rFonts w:ascii="仿宋_GB2312" w:eastAsia="仿宋_GB2312" w:hAnsi="仿宋_GB2312" w:cs="仿宋_GB2312" w:hint="eastAsia"/>
          <w:sz w:val="32"/>
          <w:szCs w:val="32"/>
        </w:rPr>
        <w:t>无需单独申请</w:t>
      </w:r>
      <w:r>
        <w:rPr>
          <w:rFonts w:ascii="仿宋_GB2312" w:eastAsia="仿宋_GB2312" w:hAnsi="仿宋_GB2312" w:cs="仿宋_GB2312" w:hint="eastAsia"/>
          <w:sz w:val="32"/>
          <w:szCs w:val="32"/>
        </w:rPr>
        <w:t>H</w:t>
      </w:r>
      <w:r>
        <w:rPr>
          <w:rFonts w:ascii="仿宋_GB2312" w:eastAsia="仿宋_GB2312" w:hAnsi="仿宋_GB2312" w:cs="仿宋_GB2312" w:hint="eastAsia"/>
          <w:sz w:val="32"/>
          <w:szCs w:val="32"/>
        </w:rPr>
        <w:t>股“全流通”变更登记，可与境外上市登记一并办理。</w:t>
      </w:r>
    </w:p>
    <w:p w:rsidR="009A782C" w:rsidRDefault="00C844CB">
      <w:pPr>
        <w:adjustRightInd w:val="0"/>
        <w:snapToGrid w:val="0"/>
        <w:spacing w:line="324" w:lineRule="auto"/>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sz w:val="32"/>
          <w:szCs w:val="32"/>
        </w:rPr>
        <w:t>第</w:t>
      </w:r>
      <w:r>
        <w:rPr>
          <w:rFonts w:ascii="仿宋_GB2312" w:eastAsia="仿宋_GB2312" w:hAnsi="仿宋_GB2312" w:cs="仿宋_GB2312" w:hint="eastAsia"/>
          <w:sz w:val="32"/>
          <w:szCs w:val="32"/>
        </w:rPr>
        <w:t>七</w:t>
      </w:r>
      <w:r>
        <w:rPr>
          <w:rFonts w:ascii="仿宋_GB2312" w:eastAsia="仿宋_GB2312" w:hAnsi="仿宋_GB2312" w:cs="仿宋_GB2312"/>
          <w:sz w:val="32"/>
          <w:szCs w:val="32"/>
        </w:rPr>
        <w:t>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银行办理境外上市登记（含变更、注销）登记前，需核实企业实际情况、申请信息与资本项目信息系统中的信息是否一致，不一致的需核实原因，待相关信息一致后再办理新的登记业务。</w:t>
      </w:r>
    </w:p>
    <w:p w:rsidR="009A782C" w:rsidRDefault="00C844CB">
      <w:pPr>
        <w:adjustRightInd w:val="0"/>
        <w:snapToGrid w:val="0"/>
        <w:spacing w:line="324" w:lineRule="auto"/>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sz w:val="32"/>
          <w:szCs w:val="32"/>
        </w:rPr>
        <w:t>银行应通过资本项目</w:t>
      </w:r>
      <w:r>
        <w:rPr>
          <w:rFonts w:ascii="仿宋_GB2312" w:eastAsia="仿宋_GB2312" w:hAnsi="仿宋_GB2312" w:cs="仿宋_GB2312" w:hint="eastAsia"/>
          <w:sz w:val="32"/>
          <w:szCs w:val="32"/>
        </w:rPr>
        <w:t>信息系统办理上述登记业务，打印《业务登记凭证》并加盖银行业务印章后交给申请人</w:t>
      </w:r>
      <w:r>
        <w:rPr>
          <w:rFonts w:ascii="仿宋_GB2312" w:eastAsia="仿宋_GB2312" w:hAnsi="仿宋_GB2312" w:cs="仿宋_GB2312"/>
          <w:sz w:val="32"/>
          <w:szCs w:val="32"/>
        </w:rPr>
        <w:t>。</w:t>
      </w:r>
    </w:p>
    <w:p w:rsidR="009A782C" w:rsidRDefault="00C844CB">
      <w:pPr>
        <w:adjustRightInd w:val="0"/>
        <w:snapToGrid w:val="0"/>
        <w:spacing w:line="324" w:lineRule="auto"/>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sz w:val="32"/>
          <w:szCs w:val="32"/>
        </w:rPr>
        <w:t>第</w:t>
      </w:r>
      <w:r>
        <w:rPr>
          <w:rFonts w:ascii="仿宋_GB2312" w:eastAsia="仿宋_GB2312" w:hAnsi="仿宋_GB2312" w:cs="仿宋_GB2312" w:hint="eastAsia"/>
          <w:sz w:val="32"/>
          <w:szCs w:val="32"/>
        </w:rPr>
        <w:t>八</w:t>
      </w:r>
      <w:r>
        <w:rPr>
          <w:rFonts w:ascii="仿宋_GB2312" w:eastAsia="仿宋_GB2312" w:hAnsi="仿宋_GB2312" w:cs="仿宋_GB2312"/>
          <w:sz w:val="32"/>
          <w:szCs w:val="32"/>
        </w:rPr>
        <w:t>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企业应凭境外上市业务登记凭证，在境内银行开立境外上市外汇专用账户（账户性质为资本项目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结算账户，账户</w:t>
      </w:r>
      <w:r>
        <w:rPr>
          <w:rFonts w:ascii="仿宋_GB2312" w:eastAsia="仿宋_GB2312" w:hAnsi="仿宋_GB2312" w:cs="仿宋_GB2312" w:hint="eastAsia"/>
          <w:sz w:val="32"/>
          <w:szCs w:val="32"/>
        </w:rPr>
        <w:lastRenderedPageBreak/>
        <w:t>代码为</w:t>
      </w:r>
      <w:r>
        <w:rPr>
          <w:rFonts w:ascii="仿宋_GB2312" w:eastAsia="仿宋_GB2312" w:hAnsi="仿宋_GB2312" w:cs="仿宋_GB2312" w:hint="eastAsia"/>
          <w:sz w:val="32"/>
          <w:szCs w:val="32"/>
        </w:rPr>
        <w:t>210</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，无开户银行、账户数量限制），办理首发（或增发）、回购</w:t>
      </w:r>
      <w:r>
        <w:rPr>
          <w:rFonts w:ascii="仿宋_GB2312" w:eastAsia="仿宋_GB2312" w:hAnsi="仿宋_GB2312" w:cs="仿宋_GB2312" w:hint="eastAsia"/>
          <w:sz w:val="32"/>
          <w:szCs w:val="32"/>
        </w:rPr>
        <w:t>等业务的资金收付和汇兑。</w:t>
      </w:r>
    </w:p>
    <w:p w:rsidR="009A782C" w:rsidRDefault="00C844CB">
      <w:pPr>
        <w:adjustRightInd w:val="0"/>
        <w:snapToGrid w:val="0"/>
        <w:spacing w:line="324" w:lineRule="auto"/>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sz w:val="32"/>
          <w:szCs w:val="32"/>
        </w:rPr>
        <w:t>第</w:t>
      </w:r>
      <w:r>
        <w:rPr>
          <w:rFonts w:ascii="仿宋_GB2312" w:eastAsia="仿宋_GB2312" w:hAnsi="仿宋_GB2312" w:cs="仿宋_GB2312" w:hint="eastAsia"/>
          <w:sz w:val="32"/>
          <w:szCs w:val="32"/>
        </w:rPr>
        <w:t>九</w:t>
      </w:r>
      <w:r>
        <w:rPr>
          <w:rFonts w:ascii="仿宋_GB2312" w:eastAsia="仿宋_GB2312" w:hAnsi="仿宋_GB2312" w:cs="仿宋_GB2312"/>
          <w:sz w:val="32"/>
          <w:szCs w:val="32"/>
        </w:rPr>
        <w:t>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境外上市募集资金原则上应及时调回境内，可以人民币或外币调回。资金用途应与招股说明文件或公司债券募集说明文件、股东通函、董事会或股东大会决议等公开披露的文件所列相关内容一致。境内公司使用境外上市募集资金开展境外直接投资、境外证券投资、境外放款等业务，应符合相关外汇管理规定。</w:t>
      </w:r>
    </w:p>
    <w:p w:rsidR="009A782C" w:rsidRDefault="00C844CB">
      <w:pPr>
        <w:adjustRightInd w:val="0"/>
        <w:snapToGrid w:val="0"/>
        <w:spacing w:line="324" w:lineRule="auto"/>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sz w:val="32"/>
          <w:szCs w:val="32"/>
        </w:rPr>
        <w:t>第</w:t>
      </w:r>
      <w:r>
        <w:rPr>
          <w:rFonts w:ascii="仿宋_GB2312" w:eastAsia="仿宋_GB2312" w:hAnsi="仿宋_GB2312" w:cs="仿宋_GB2312" w:hint="eastAsia"/>
          <w:sz w:val="32"/>
          <w:szCs w:val="32"/>
        </w:rPr>
        <w:t>十</w:t>
      </w:r>
      <w:r>
        <w:rPr>
          <w:rFonts w:ascii="仿宋_GB2312" w:eastAsia="仿宋_GB2312" w:hAnsi="仿宋_GB2312" w:cs="仿宋_GB2312"/>
          <w:sz w:val="32"/>
          <w:szCs w:val="32"/>
        </w:rPr>
        <w:t>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企业因办理境外上市相关业务需要，可在境外开立相应的专用账户，境外专用账户的收支范围应符合</w:t>
      </w:r>
      <w:r>
        <w:rPr>
          <w:rFonts w:ascii="仿宋_GB2312" w:eastAsia="仿宋_GB2312" w:hAnsi="仿宋_GB2312" w:cs="仿宋_GB2312"/>
          <w:sz w:val="32"/>
          <w:szCs w:val="32"/>
        </w:rPr>
        <w:t>境内企业境外上市外汇管理规定</w:t>
      </w:r>
      <w:r>
        <w:rPr>
          <w:rFonts w:ascii="仿宋_GB2312" w:eastAsia="仿宋_GB2312" w:hAnsi="仿宋_GB2312" w:cs="仿宋_GB2312" w:hint="eastAsia"/>
          <w:sz w:val="32"/>
          <w:szCs w:val="32"/>
        </w:rPr>
        <w:t>。</w:t>
      </w:r>
    </w:p>
    <w:p w:rsidR="009A782C" w:rsidRDefault="00C844CB">
      <w:pPr>
        <w:adjustRightInd w:val="0"/>
        <w:snapToGrid w:val="0"/>
        <w:spacing w:line="324" w:lineRule="auto"/>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sz w:val="32"/>
          <w:szCs w:val="32"/>
        </w:rPr>
        <w:t>第</w:t>
      </w:r>
      <w:r>
        <w:rPr>
          <w:rFonts w:ascii="仿宋_GB2312" w:eastAsia="仿宋_GB2312" w:hAnsi="仿宋_GB2312" w:cs="仿宋_GB2312" w:hint="eastAsia"/>
          <w:sz w:val="32"/>
          <w:szCs w:val="32"/>
        </w:rPr>
        <w:t>十一</w:t>
      </w:r>
      <w:r>
        <w:rPr>
          <w:rFonts w:ascii="仿宋_GB2312" w:eastAsia="仿宋_GB2312" w:hAnsi="仿宋_GB2312" w:cs="仿宋_GB2312"/>
          <w:sz w:val="32"/>
          <w:szCs w:val="32"/>
        </w:rPr>
        <w:t>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银行在为</w:t>
      </w:r>
      <w:r>
        <w:rPr>
          <w:rFonts w:ascii="仿宋_GB2312" w:eastAsia="仿宋_GB2312" w:hAnsi="仿宋_GB2312" w:cs="仿宋_GB2312" w:hint="eastAsia"/>
          <w:sz w:val="32"/>
          <w:szCs w:val="32"/>
        </w:rPr>
        <w:t>H</w:t>
      </w:r>
      <w:r>
        <w:rPr>
          <w:rFonts w:ascii="仿宋_GB2312" w:eastAsia="仿宋_GB2312" w:hAnsi="仿宋_GB2312" w:cs="仿宋_GB2312" w:hint="eastAsia"/>
          <w:sz w:val="32"/>
          <w:szCs w:val="32"/>
        </w:rPr>
        <w:t>股“全流通”的境内企业办理</w:t>
      </w:r>
      <w:r>
        <w:rPr>
          <w:rFonts w:ascii="仿宋_GB2312" w:eastAsia="仿宋_GB2312" w:hAnsi="仿宋_GB2312" w:cs="仿宋_GB2312" w:hint="eastAsia"/>
          <w:sz w:val="32"/>
          <w:szCs w:val="32"/>
        </w:rPr>
        <w:t>H</w:t>
      </w:r>
      <w:r>
        <w:rPr>
          <w:rFonts w:ascii="仿宋_GB2312" w:eastAsia="仿宋_GB2312" w:hAnsi="仿宋_GB2312" w:cs="仿宋_GB2312" w:hint="eastAsia"/>
          <w:sz w:val="32"/>
          <w:szCs w:val="32"/>
        </w:rPr>
        <w:t>股上市公司变更登记时，应将参与</w:t>
      </w:r>
      <w:r>
        <w:rPr>
          <w:rFonts w:ascii="仿宋_GB2312" w:eastAsia="仿宋_GB2312" w:hAnsi="仿宋_GB2312" w:cs="仿宋_GB2312" w:hint="eastAsia"/>
          <w:sz w:val="32"/>
          <w:szCs w:val="32"/>
        </w:rPr>
        <w:t>H</w:t>
      </w:r>
      <w:r>
        <w:rPr>
          <w:rFonts w:ascii="仿宋_GB2312" w:eastAsia="仿宋_GB2312" w:hAnsi="仿宋_GB2312" w:cs="仿宋_GB2312" w:hint="eastAsia"/>
          <w:sz w:val="32"/>
          <w:szCs w:val="32"/>
        </w:rPr>
        <w:t>股“全流通”的新增境内股东添加在“境外上市情况”</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“交易所股东信息”中。</w:t>
      </w:r>
    </w:p>
    <w:p w:rsidR="009A782C" w:rsidRDefault="00C844CB">
      <w:pPr>
        <w:adjustRightInd w:val="0"/>
        <w:snapToGrid w:val="0"/>
        <w:spacing w:line="324" w:lineRule="auto"/>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第十二条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境内公司在境外多个证券交易所上市，涉及在新的证券交易所募集资金的，视同首发上市办理境外上市登记；不涉及募集资金的，在首发境外上市登记基础上办理变更登记即可。</w:t>
      </w:r>
    </w:p>
    <w:p w:rsidR="009A782C" w:rsidRDefault="00C844CB">
      <w:pPr>
        <w:adjustRightInd w:val="0"/>
        <w:snapToGrid w:val="0"/>
        <w:spacing w:line="324" w:lineRule="auto"/>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第十三条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企业以新增证券为基础发行境外存托凭证募集资金相关登记事项参照本实施细则办理。</w:t>
      </w:r>
    </w:p>
    <w:p w:rsidR="009A782C" w:rsidRDefault="00C844CB">
      <w:pPr>
        <w:adjustRightInd w:val="0"/>
        <w:snapToGrid w:val="0"/>
        <w:spacing w:line="324" w:lineRule="auto"/>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第十四条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企业回购其境外股份的，仍应按现行规定到雄安新区分局办理回购相关业务。</w:t>
      </w:r>
    </w:p>
    <w:p w:rsidR="009A782C" w:rsidRDefault="00C844CB">
      <w:pPr>
        <w:adjustRightInd w:val="0"/>
        <w:snapToGrid w:val="0"/>
        <w:spacing w:line="324" w:lineRule="auto"/>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第十五条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其他未尽事宜，适用现行外汇管理规定。</w:t>
      </w:r>
    </w:p>
    <w:p w:rsidR="009A782C" w:rsidRDefault="009A782C">
      <w:pPr>
        <w:adjustRightInd w:val="0"/>
        <w:snapToGrid w:val="0"/>
        <w:spacing w:line="324" w:lineRule="auto"/>
        <w:ind w:firstLineChars="200" w:firstLine="640"/>
        <w:contextualSpacing/>
        <w:rPr>
          <w:rFonts w:ascii="仿宋_GB2312" w:eastAsia="仿宋_GB2312" w:hAnsi="仿宋_GB2312" w:cs="仿宋_GB2312"/>
          <w:sz w:val="32"/>
          <w:szCs w:val="32"/>
        </w:rPr>
      </w:pPr>
    </w:p>
    <w:p w:rsidR="009A782C" w:rsidRDefault="00C844CB">
      <w:pPr>
        <w:adjustRightInd w:val="0"/>
        <w:snapToGrid w:val="0"/>
        <w:spacing w:line="324" w:lineRule="auto"/>
        <w:ind w:firstLineChars="200" w:firstLine="640"/>
        <w:contextualSpacing/>
        <w:rPr>
          <w:rFonts w:ascii="黑体" w:eastAsia="黑体" w:hAnsi="黑体"/>
          <w:kern w:val="0"/>
          <w:sz w:val="32"/>
          <w:szCs w:val="32"/>
        </w:rPr>
      </w:pPr>
      <w:r>
        <w:rPr>
          <w:rFonts w:ascii="仿宋_GB2312" w:eastAsia="仿宋_GB2312" w:hAnsi="仿宋_GB2312" w:cs="仿宋_GB2312" w:hint="eastAsia"/>
          <w:sz w:val="32"/>
          <w:szCs w:val="32"/>
        </w:rPr>
        <w:t>附：境外上市登记表</w:t>
      </w:r>
      <w:r>
        <w:rPr>
          <w:rFonts w:ascii="Arial" w:eastAsia="仿宋_GB2312" w:hAnsi="仿宋_GB2312" w:cs="Arial"/>
          <w:sz w:val="32"/>
          <w:szCs w:val="32"/>
        </w:rPr>
        <w:br w:type="page"/>
      </w:r>
      <w:bookmarkStart w:id="1" w:name="_Toc54703081"/>
      <w:r>
        <w:rPr>
          <w:rFonts w:ascii="黑体" w:eastAsia="黑体" w:hAnsi="黑体" w:hint="eastAsia"/>
          <w:kern w:val="0"/>
          <w:sz w:val="32"/>
          <w:szCs w:val="32"/>
        </w:rPr>
        <w:lastRenderedPageBreak/>
        <w:t>附</w:t>
      </w:r>
    </w:p>
    <w:p w:rsidR="009A782C" w:rsidRDefault="009A782C">
      <w:pPr>
        <w:adjustRightInd w:val="0"/>
        <w:snapToGrid w:val="0"/>
        <w:ind w:firstLineChars="200" w:firstLine="640"/>
        <w:contextualSpacing/>
        <w:jc w:val="left"/>
        <w:rPr>
          <w:rFonts w:ascii="黑体" w:eastAsia="黑体" w:hAnsi="黑体"/>
          <w:sz w:val="32"/>
          <w:szCs w:val="32"/>
        </w:rPr>
      </w:pPr>
    </w:p>
    <w:p w:rsidR="009A782C" w:rsidRDefault="00C844CB">
      <w:pPr>
        <w:widowControl/>
        <w:adjustRightInd w:val="0"/>
        <w:snapToGrid w:val="0"/>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境外上市登记表</w:t>
      </w:r>
      <w:bookmarkEnd w:id="1"/>
    </w:p>
    <w:p w:rsidR="009A782C" w:rsidRDefault="009A782C">
      <w:pPr>
        <w:spacing w:line="400" w:lineRule="exact"/>
        <w:jc w:val="left"/>
        <w:rPr>
          <w:rFonts w:ascii="宋体" w:hAnsi="宋体"/>
          <w:sz w:val="24"/>
        </w:rPr>
      </w:pPr>
    </w:p>
    <w:p w:rsidR="009A782C" w:rsidRDefault="00C844CB">
      <w:pPr>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登记类别：□登记</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□变更登记</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编号（银行填写）：</w:t>
      </w:r>
    </w:p>
    <w:tbl>
      <w:tblPr>
        <w:tblW w:w="889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4A0"/>
      </w:tblPr>
      <w:tblGrid>
        <w:gridCol w:w="766"/>
        <w:gridCol w:w="35"/>
        <w:gridCol w:w="570"/>
        <w:gridCol w:w="141"/>
        <w:gridCol w:w="702"/>
        <w:gridCol w:w="9"/>
        <w:gridCol w:w="273"/>
        <w:gridCol w:w="55"/>
        <w:gridCol w:w="155"/>
        <w:gridCol w:w="567"/>
        <w:gridCol w:w="96"/>
        <w:gridCol w:w="188"/>
        <w:gridCol w:w="425"/>
        <w:gridCol w:w="51"/>
        <w:gridCol w:w="699"/>
        <w:gridCol w:w="6"/>
        <w:gridCol w:w="161"/>
        <w:gridCol w:w="75"/>
        <w:gridCol w:w="425"/>
        <w:gridCol w:w="608"/>
        <w:gridCol w:w="338"/>
        <w:gridCol w:w="47"/>
        <w:gridCol w:w="141"/>
        <w:gridCol w:w="233"/>
        <w:gridCol w:w="476"/>
        <w:gridCol w:w="142"/>
        <w:gridCol w:w="283"/>
        <w:gridCol w:w="284"/>
        <w:gridCol w:w="946"/>
      </w:tblGrid>
      <w:tr w:rsidR="009A782C">
        <w:trPr>
          <w:trHeight w:val="446"/>
          <w:jc w:val="center"/>
        </w:trPr>
        <w:tc>
          <w:tcPr>
            <w:tcW w:w="8897" w:type="dxa"/>
            <w:gridSpan w:val="29"/>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宋体" w:hAnsi="宋体"/>
                <w:b/>
                <w:sz w:val="24"/>
              </w:rPr>
            </w:pPr>
            <w:r>
              <w:rPr>
                <w:rFonts w:ascii="黑体" w:eastAsia="黑体" w:hAnsi="黑体" w:hint="eastAsia"/>
                <w:bCs/>
                <w:sz w:val="24"/>
              </w:rPr>
              <w:t>境外上市的境内公司（以下简称境内公司）基本信息</w:t>
            </w:r>
          </w:p>
        </w:tc>
      </w:tr>
      <w:tr w:rsidR="009A782C">
        <w:trPr>
          <w:trHeight w:val="587"/>
          <w:jc w:val="center"/>
        </w:trPr>
        <w:tc>
          <w:tcPr>
            <w:tcW w:w="2496" w:type="dxa"/>
            <w:gridSpan w:val="7"/>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境内公司名称</w:t>
            </w:r>
          </w:p>
        </w:tc>
        <w:tc>
          <w:tcPr>
            <w:tcW w:w="2903" w:type="dxa"/>
            <w:gridSpan w:val="12"/>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统一社会信用代码</w:t>
            </w: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r>
      <w:tr w:rsidR="009A782C">
        <w:trPr>
          <w:trHeight w:val="553"/>
          <w:jc w:val="center"/>
        </w:trPr>
        <w:tc>
          <w:tcPr>
            <w:tcW w:w="2496" w:type="dxa"/>
            <w:gridSpan w:val="7"/>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注册地址</w:t>
            </w:r>
          </w:p>
        </w:tc>
        <w:tc>
          <w:tcPr>
            <w:tcW w:w="2903" w:type="dxa"/>
            <w:gridSpan w:val="12"/>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法定代表人</w:t>
            </w: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r>
      <w:tr w:rsidR="009A782C">
        <w:trPr>
          <w:trHeight w:val="547"/>
          <w:jc w:val="center"/>
        </w:trPr>
        <w:tc>
          <w:tcPr>
            <w:tcW w:w="2496" w:type="dxa"/>
            <w:gridSpan w:val="7"/>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上市地及证券交易所</w:t>
            </w:r>
          </w:p>
        </w:tc>
        <w:tc>
          <w:tcPr>
            <w:tcW w:w="2903" w:type="dxa"/>
            <w:gridSpan w:val="12"/>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（可填写多个上市地）</w:t>
            </w: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上市时间</w:t>
            </w: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r>
      <w:tr w:rsidR="009A782C">
        <w:trPr>
          <w:trHeight w:val="555"/>
          <w:jc w:val="center"/>
        </w:trPr>
        <w:tc>
          <w:tcPr>
            <w:tcW w:w="2496" w:type="dxa"/>
            <w:gridSpan w:val="7"/>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证监会备案文号</w:t>
            </w:r>
          </w:p>
        </w:tc>
        <w:tc>
          <w:tcPr>
            <w:tcW w:w="6401" w:type="dxa"/>
            <w:gridSpan w:val="22"/>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r>
      <w:tr w:rsidR="009A782C">
        <w:trPr>
          <w:trHeight w:val="435"/>
          <w:jc w:val="center"/>
        </w:trPr>
        <w:tc>
          <w:tcPr>
            <w:tcW w:w="2496" w:type="dxa"/>
            <w:gridSpan w:val="7"/>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证券名称</w:t>
            </w:r>
          </w:p>
        </w:tc>
        <w:tc>
          <w:tcPr>
            <w:tcW w:w="2903" w:type="dxa"/>
            <w:gridSpan w:val="12"/>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证券代码</w:t>
            </w: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r>
      <w:tr w:rsidR="009A782C">
        <w:trPr>
          <w:trHeight w:val="540"/>
          <w:jc w:val="center"/>
        </w:trPr>
        <w:tc>
          <w:tcPr>
            <w:tcW w:w="2496" w:type="dxa"/>
            <w:gridSpan w:val="7"/>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总股数</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1530" w:type="dxa"/>
            <w:gridSpan w:val="6"/>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总股本金额</w:t>
            </w:r>
          </w:p>
        </w:tc>
        <w:tc>
          <w:tcPr>
            <w:tcW w:w="1446" w:type="dxa"/>
            <w:gridSpan w:val="4"/>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1039" w:type="dxa"/>
            <w:gridSpan w:val="5"/>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币种</w:t>
            </w: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r>
      <w:tr w:rsidR="009A782C">
        <w:trPr>
          <w:trHeight w:val="20"/>
          <w:jc w:val="center"/>
        </w:trPr>
        <w:tc>
          <w:tcPr>
            <w:tcW w:w="2496" w:type="dxa"/>
            <w:gridSpan w:val="7"/>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总股本变更原因</w:t>
            </w:r>
          </w:p>
        </w:tc>
        <w:tc>
          <w:tcPr>
            <w:tcW w:w="6401" w:type="dxa"/>
            <w:gridSpan w:val="22"/>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left"/>
              <w:rPr>
                <w:rFonts w:ascii="仿宋_GB2312" w:eastAsia="仿宋_GB2312" w:hAnsi="仿宋_GB2312" w:cs="仿宋_GB2312"/>
                <w:sz w:val="24"/>
              </w:rPr>
            </w:pPr>
            <w:r>
              <w:rPr>
                <w:rFonts w:ascii="仿宋_GB2312" w:eastAsia="仿宋_GB2312" w:hAnsi="仿宋_GB2312" w:cs="仿宋_GB2312" w:hint="eastAsia"/>
                <w:sz w:val="24"/>
              </w:rPr>
              <w:t>□增发（含超额配售、向境内特定对象发行证券购买资产）</w:t>
            </w:r>
          </w:p>
          <w:p w:rsidR="009A782C" w:rsidRDefault="00C844CB">
            <w:pPr>
              <w:spacing w:line="340" w:lineRule="exact"/>
              <w:jc w:val="left"/>
              <w:rPr>
                <w:rFonts w:ascii="仿宋_GB2312" w:eastAsia="仿宋_GB2312" w:hAnsi="仿宋_GB2312" w:cs="仿宋_GB2312"/>
                <w:sz w:val="24"/>
              </w:rPr>
            </w:pPr>
            <w:r>
              <w:rPr>
                <w:rFonts w:ascii="仿宋_GB2312" w:eastAsia="仿宋_GB2312" w:hAnsi="仿宋_GB2312" w:cs="仿宋_GB2312" w:hint="eastAsia"/>
                <w:sz w:val="24"/>
              </w:rPr>
              <w:t>□回购</w:t>
            </w:r>
          </w:p>
          <w:p w:rsidR="009A782C" w:rsidRDefault="00C844CB">
            <w:pPr>
              <w:spacing w:line="340" w:lineRule="exact"/>
              <w:jc w:val="left"/>
              <w:rPr>
                <w:rFonts w:ascii="仿宋_GB2312" w:eastAsia="仿宋_GB2312" w:hAnsi="仿宋_GB2312" w:cs="仿宋_GB2312"/>
                <w:sz w:val="24"/>
              </w:rPr>
            </w:pPr>
            <w:r>
              <w:rPr>
                <w:rFonts w:ascii="仿宋_GB2312" w:eastAsia="仿宋_GB2312" w:hAnsi="仿宋_GB2312" w:cs="仿宋_GB2312" w:hint="eastAsia"/>
                <w:sz w:val="24"/>
              </w:rPr>
              <w:t>□可转债转股</w:t>
            </w:r>
          </w:p>
          <w:p w:rsidR="009A782C" w:rsidRDefault="00C844CB">
            <w:pPr>
              <w:spacing w:line="340" w:lineRule="exact"/>
              <w:jc w:val="left"/>
              <w:rPr>
                <w:rFonts w:ascii="仿宋_GB2312" w:eastAsia="仿宋_GB2312" w:hAnsi="仿宋_GB2312" w:cs="仿宋_GB2312"/>
                <w:sz w:val="24"/>
              </w:rPr>
            </w:pPr>
            <w:r>
              <w:rPr>
                <w:rFonts w:ascii="仿宋_GB2312" w:eastAsia="仿宋_GB2312" w:hAnsi="仿宋_GB2312" w:cs="仿宋_GB2312" w:hint="eastAsia"/>
                <w:sz w:val="24"/>
              </w:rPr>
              <w:t>□资本公积、盈余公积、未分配利润转增股本</w:t>
            </w:r>
          </w:p>
          <w:p w:rsidR="009A782C" w:rsidRDefault="00C844CB">
            <w:pPr>
              <w:spacing w:line="340" w:lineRule="exact"/>
              <w:jc w:val="left"/>
              <w:rPr>
                <w:rFonts w:ascii="仿宋_GB2312" w:eastAsia="仿宋_GB2312" w:hAnsi="仿宋_GB2312" w:cs="仿宋_GB2312"/>
                <w:sz w:val="24"/>
              </w:rPr>
            </w:pPr>
            <w:r>
              <w:rPr>
                <w:rFonts w:ascii="仿宋_GB2312" w:eastAsia="仿宋_GB2312" w:hAnsi="仿宋_GB2312" w:cs="仿宋_GB2312" w:hint="eastAsia"/>
                <w:sz w:val="24"/>
              </w:rPr>
              <w:t>□其他</w:t>
            </w:r>
            <w:r>
              <w:rPr>
                <w:rFonts w:ascii="仿宋_GB2312" w:eastAsia="仿宋_GB2312" w:hAnsi="仿宋_GB2312" w:cs="仿宋_GB2312" w:hint="eastAsia"/>
                <w:sz w:val="24"/>
                <w:u w:val="single"/>
              </w:rPr>
              <w:t>（具体说明：）</w:t>
            </w:r>
          </w:p>
        </w:tc>
      </w:tr>
      <w:tr w:rsidR="009A782C">
        <w:trPr>
          <w:trHeight w:val="20"/>
          <w:jc w:val="center"/>
        </w:trPr>
        <w:tc>
          <w:tcPr>
            <w:tcW w:w="2496" w:type="dxa"/>
            <w:gridSpan w:val="7"/>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联系人</w:t>
            </w:r>
          </w:p>
        </w:tc>
        <w:tc>
          <w:tcPr>
            <w:tcW w:w="2903" w:type="dxa"/>
            <w:gridSpan w:val="12"/>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1367" w:type="dxa"/>
            <w:gridSpan w:val="5"/>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联系电话</w:t>
            </w:r>
          </w:p>
        </w:tc>
        <w:tc>
          <w:tcPr>
            <w:tcW w:w="2131" w:type="dxa"/>
            <w:gridSpan w:val="5"/>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r>
      <w:tr w:rsidR="009A782C">
        <w:trPr>
          <w:trHeight w:val="524"/>
          <w:jc w:val="center"/>
        </w:trPr>
        <w:tc>
          <w:tcPr>
            <w:tcW w:w="8897" w:type="dxa"/>
            <w:gridSpan w:val="29"/>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宋体" w:hAnsi="宋体"/>
                <w:b/>
                <w:sz w:val="24"/>
              </w:rPr>
            </w:pPr>
            <w:r>
              <w:rPr>
                <w:rFonts w:ascii="黑体" w:eastAsia="黑体" w:hAnsi="黑体" w:hint="eastAsia"/>
                <w:bCs/>
                <w:sz w:val="24"/>
              </w:rPr>
              <w:t>主要境内股东的基本信息</w:t>
            </w:r>
          </w:p>
        </w:tc>
      </w:tr>
      <w:tr w:rsidR="009A782C">
        <w:trPr>
          <w:trHeight w:val="20"/>
          <w:jc w:val="center"/>
        </w:trPr>
        <w:tc>
          <w:tcPr>
            <w:tcW w:w="2551" w:type="dxa"/>
            <w:gridSpan w:val="8"/>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c>
          <w:tcPr>
            <w:tcW w:w="1482" w:type="dxa"/>
            <w:gridSpan w:val="6"/>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名称（或姓名）</w:t>
            </w:r>
          </w:p>
        </w:tc>
        <w:tc>
          <w:tcPr>
            <w:tcW w:w="1974" w:type="dxa"/>
            <w:gridSpan w:val="6"/>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统一社会信用代码</w:t>
            </w:r>
          </w:p>
        </w:tc>
        <w:tc>
          <w:tcPr>
            <w:tcW w:w="1377" w:type="dxa"/>
            <w:gridSpan w:val="6"/>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持股比例</w:t>
            </w: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注册地址</w:t>
            </w:r>
          </w:p>
        </w:tc>
      </w:tr>
      <w:tr w:rsidR="009A782C">
        <w:trPr>
          <w:trHeight w:val="396"/>
          <w:jc w:val="center"/>
        </w:trPr>
        <w:tc>
          <w:tcPr>
            <w:tcW w:w="2551" w:type="dxa"/>
            <w:gridSpan w:val="8"/>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境内股东</w:t>
            </w:r>
            <w:r>
              <w:rPr>
                <w:rFonts w:ascii="仿宋_GB2312" w:eastAsia="仿宋_GB2312" w:hAnsi="仿宋_GB2312" w:cs="仿宋_GB2312" w:hint="eastAsia"/>
                <w:sz w:val="24"/>
              </w:rPr>
              <w:t>1</w:t>
            </w:r>
          </w:p>
        </w:tc>
        <w:tc>
          <w:tcPr>
            <w:tcW w:w="1482" w:type="dxa"/>
            <w:gridSpan w:val="6"/>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c>
          <w:tcPr>
            <w:tcW w:w="1974" w:type="dxa"/>
            <w:gridSpan w:val="6"/>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c>
          <w:tcPr>
            <w:tcW w:w="1377" w:type="dxa"/>
            <w:gridSpan w:val="6"/>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r>
      <w:tr w:rsidR="009A782C">
        <w:trPr>
          <w:trHeight w:val="417"/>
          <w:jc w:val="center"/>
        </w:trPr>
        <w:tc>
          <w:tcPr>
            <w:tcW w:w="2551" w:type="dxa"/>
            <w:gridSpan w:val="8"/>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境内股东</w:t>
            </w:r>
            <w:r>
              <w:rPr>
                <w:rFonts w:ascii="仿宋_GB2312" w:eastAsia="仿宋_GB2312" w:hAnsi="仿宋_GB2312" w:cs="仿宋_GB2312" w:hint="eastAsia"/>
                <w:sz w:val="24"/>
              </w:rPr>
              <w:t>2</w:t>
            </w:r>
          </w:p>
        </w:tc>
        <w:tc>
          <w:tcPr>
            <w:tcW w:w="1482" w:type="dxa"/>
            <w:gridSpan w:val="6"/>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c>
          <w:tcPr>
            <w:tcW w:w="1974" w:type="dxa"/>
            <w:gridSpan w:val="6"/>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c>
          <w:tcPr>
            <w:tcW w:w="1377" w:type="dxa"/>
            <w:gridSpan w:val="6"/>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r>
      <w:tr w:rsidR="009A782C">
        <w:trPr>
          <w:trHeight w:val="20"/>
          <w:jc w:val="center"/>
        </w:trPr>
        <w:tc>
          <w:tcPr>
            <w:tcW w:w="2551" w:type="dxa"/>
            <w:gridSpan w:val="8"/>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……（可加行）</w:t>
            </w:r>
          </w:p>
        </w:tc>
        <w:tc>
          <w:tcPr>
            <w:tcW w:w="1482" w:type="dxa"/>
            <w:gridSpan w:val="6"/>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c>
          <w:tcPr>
            <w:tcW w:w="1974" w:type="dxa"/>
            <w:gridSpan w:val="6"/>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c>
          <w:tcPr>
            <w:tcW w:w="1377" w:type="dxa"/>
            <w:gridSpan w:val="6"/>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r>
      <w:tr w:rsidR="009A782C">
        <w:trPr>
          <w:trHeight w:val="496"/>
          <w:jc w:val="center"/>
        </w:trPr>
        <w:tc>
          <w:tcPr>
            <w:tcW w:w="8897" w:type="dxa"/>
            <w:gridSpan w:val="29"/>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宋体" w:hAnsi="宋体"/>
                <w:b/>
                <w:sz w:val="24"/>
              </w:rPr>
            </w:pPr>
            <w:r>
              <w:rPr>
                <w:rFonts w:ascii="黑体" w:eastAsia="黑体" w:hAnsi="黑体" w:hint="eastAsia"/>
                <w:bCs/>
                <w:sz w:val="24"/>
              </w:rPr>
              <w:t>发行信息</w:t>
            </w:r>
          </w:p>
        </w:tc>
      </w:tr>
      <w:tr w:rsidR="009A782C">
        <w:trPr>
          <w:trHeight w:val="548"/>
          <w:jc w:val="center"/>
        </w:trPr>
        <w:tc>
          <w:tcPr>
            <w:tcW w:w="1512" w:type="dxa"/>
            <w:gridSpan w:val="4"/>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发行方式</w:t>
            </w:r>
          </w:p>
        </w:tc>
        <w:tc>
          <w:tcPr>
            <w:tcW w:w="7385" w:type="dxa"/>
            <w:gridSpan w:val="25"/>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left"/>
              <w:rPr>
                <w:rFonts w:ascii="仿宋_GB2312" w:eastAsia="仿宋_GB2312" w:hAnsi="仿宋_GB2312" w:cs="仿宋_GB2312"/>
                <w:sz w:val="24"/>
              </w:rPr>
            </w:pPr>
            <w:r>
              <w:rPr>
                <w:rFonts w:ascii="仿宋_GB2312" w:eastAsia="仿宋_GB2312" w:hAnsi="仿宋_GB2312" w:cs="仿宋_GB2312" w:hint="eastAsia"/>
                <w:sz w:val="24"/>
              </w:rPr>
              <w:t>□首次发行□增发（含超额配售）</w:t>
            </w:r>
          </w:p>
        </w:tc>
      </w:tr>
      <w:tr w:rsidR="009A782C">
        <w:trPr>
          <w:cantSplit/>
          <w:trHeight w:val="20"/>
          <w:jc w:val="center"/>
        </w:trPr>
        <w:tc>
          <w:tcPr>
            <w:tcW w:w="1512" w:type="dxa"/>
            <w:gridSpan w:val="4"/>
            <w:vMerge w:val="restart"/>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发行种类</w:t>
            </w:r>
          </w:p>
        </w:tc>
        <w:tc>
          <w:tcPr>
            <w:tcW w:w="3462" w:type="dxa"/>
            <w:gridSpan w:val="14"/>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股票</w:t>
            </w:r>
          </w:p>
        </w:tc>
        <w:tc>
          <w:tcPr>
            <w:tcW w:w="1559" w:type="dxa"/>
            <w:gridSpan w:val="5"/>
            <w:vMerge w:val="restart"/>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存托凭证</w:t>
            </w:r>
          </w:p>
        </w:tc>
        <w:tc>
          <w:tcPr>
            <w:tcW w:w="2364" w:type="dxa"/>
            <w:gridSpan w:val="6"/>
            <w:vMerge w:val="restart"/>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其他</w:t>
            </w:r>
          </w:p>
        </w:tc>
      </w:tr>
      <w:tr w:rsidR="009A782C">
        <w:trPr>
          <w:cantSplit/>
          <w:trHeight w:val="20"/>
          <w:jc w:val="center"/>
        </w:trPr>
        <w:tc>
          <w:tcPr>
            <w:tcW w:w="1512" w:type="dxa"/>
            <w:gridSpan w:val="4"/>
            <w:vMerge/>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c>
          <w:tcPr>
            <w:tcW w:w="1761" w:type="dxa"/>
            <w:gridSpan w:val="6"/>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普通股</w:t>
            </w:r>
          </w:p>
        </w:tc>
        <w:tc>
          <w:tcPr>
            <w:tcW w:w="1701" w:type="dxa"/>
            <w:gridSpan w:val="8"/>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优先股</w:t>
            </w:r>
          </w:p>
        </w:tc>
        <w:tc>
          <w:tcPr>
            <w:tcW w:w="1559" w:type="dxa"/>
            <w:gridSpan w:val="5"/>
            <w:vMerge/>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c>
          <w:tcPr>
            <w:tcW w:w="2364" w:type="dxa"/>
            <w:gridSpan w:val="6"/>
            <w:vMerge/>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r>
      <w:tr w:rsidR="009A782C">
        <w:trPr>
          <w:trHeight w:val="20"/>
          <w:jc w:val="center"/>
        </w:trPr>
        <w:tc>
          <w:tcPr>
            <w:tcW w:w="1512" w:type="dxa"/>
            <w:gridSpan w:val="4"/>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名称及代码</w:t>
            </w:r>
          </w:p>
        </w:tc>
        <w:tc>
          <w:tcPr>
            <w:tcW w:w="1761" w:type="dxa"/>
            <w:gridSpan w:val="6"/>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left"/>
              <w:rPr>
                <w:rFonts w:ascii="仿宋_GB2312" w:eastAsia="仿宋_GB2312" w:hAnsi="仿宋_GB2312" w:cs="仿宋_GB2312"/>
                <w:sz w:val="24"/>
              </w:rPr>
            </w:pPr>
          </w:p>
        </w:tc>
        <w:tc>
          <w:tcPr>
            <w:tcW w:w="1701" w:type="dxa"/>
            <w:gridSpan w:val="8"/>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left"/>
              <w:rPr>
                <w:rFonts w:ascii="仿宋_GB2312" w:eastAsia="仿宋_GB2312" w:hAnsi="仿宋_GB2312" w:cs="仿宋_GB2312"/>
                <w:sz w:val="24"/>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left"/>
              <w:rPr>
                <w:rFonts w:ascii="仿宋_GB2312" w:eastAsia="仿宋_GB2312" w:hAnsi="仿宋_GB2312" w:cs="仿宋_GB2312"/>
                <w:sz w:val="24"/>
              </w:rPr>
            </w:pPr>
          </w:p>
        </w:tc>
        <w:tc>
          <w:tcPr>
            <w:tcW w:w="2364" w:type="dxa"/>
            <w:gridSpan w:val="6"/>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left"/>
              <w:rPr>
                <w:rFonts w:ascii="仿宋_GB2312" w:eastAsia="仿宋_GB2312" w:hAnsi="仿宋_GB2312" w:cs="仿宋_GB2312"/>
                <w:sz w:val="24"/>
              </w:rPr>
            </w:pPr>
          </w:p>
        </w:tc>
      </w:tr>
      <w:tr w:rsidR="009A782C">
        <w:trPr>
          <w:trHeight w:val="20"/>
          <w:jc w:val="center"/>
        </w:trPr>
        <w:tc>
          <w:tcPr>
            <w:tcW w:w="1512" w:type="dxa"/>
            <w:gridSpan w:val="4"/>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发行时间</w:t>
            </w:r>
          </w:p>
        </w:tc>
        <w:tc>
          <w:tcPr>
            <w:tcW w:w="1761" w:type="dxa"/>
            <w:gridSpan w:val="6"/>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left"/>
              <w:rPr>
                <w:rFonts w:ascii="仿宋_GB2312" w:eastAsia="仿宋_GB2312" w:hAnsi="仿宋_GB2312" w:cs="仿宋_GB2312"/>
                <w:sz w:val="24"/>
              </w:rPr>
            </w:pPr>
          </w:p>
        </w:tc>
        <w:tc>
          <w:tcPr>
            <w:tcW w:w="1701" w:type="dxa"/>
            <w:gridSpan w:val="8"/>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left"/>
              <w:rPr>
                <w:rFonts w:ascii="仿宋_GB2312" w:eastAsia="仿宋_GB2312" w:hAnsi="仿宋_GB2312" w:cs="仿宋_GB2312"/>
                <w:sz w:val="24"/>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left"/>
              <w:rPr>
                <w:rFonts w:ascii="仿宋_GB2312" w:eastAsia="仿宋_GB2312" w:hAnsi="仿宋_GB2312" w:cs="仿宋_GB2312"/>
                <w:sz w:val="24"/>
              </w:rPr>
            </w:pPr>
          </w:p>
        </w:tc>
        <w:tc>
          <w:tcPr>
            <w:tcW w:w="2364" w:type="dxa"/>
            <w:gridSpan w:val="6"/>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left"/>
              <w:rPr>
                <w:rFonts w:ascii="仿宋_GB2312" w:eastAsia="仿宋_GB2312" w:hAnsi="仿宋_GB2312" w:cs="仿宋_GB2312"/>
                <w:sz w:val="24"/>
              </w:rPr>
            </w:pPr>
          </w:p>
        </w:tc>
      </w:tr>
      <w:tr w:rsidR="009A782C">
        <w:trPr>
          <w:trHeight w:val="20"/>
          <w:jc w:val="center"/>
        </w:trPr>
        <w:tc>
          <w:tcPr>
            <w:tcW w:w="1512" w:type="dxa"/>
            <w:gridSpan w:val="4"/>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发行数量</w:t>
            </w:r>
          </w:p>
        </w:tc>
        <w:tc>
          <w:tcPr>
            <w:tcW w:w="1761" w:type="dxa"/>
            <w:gridSpan w:val="6"/>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left"/>
              <w:rPr>
                <w:rFonts w:ascii="仿宋_GB2312" w:eastAsia="仿宋_GB2312" w:hAnsi="仿宋_GB2312" w:cs="仿宋_GB2312"/>
                <w:sz w:val="24"/>
              </w:rPr>
            </w:pPr>
          </w:p>
        </w:tc>
        <w:tc>
          <w:tcPr>
            <w:tcW w:w="1701" w:type="dxa"/>
            <w:gridSpan w:val="8"/>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left"/>
              <w:rPr>
                <w:rFonts w:ascii="仿宋_GB2312" w:eastAsia="仿宋_GB2312" w:hAnsi="仿宋_GB2312" w:cs="仿宋_GB2312"/>
                <w:sz w:val="24"/>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left"/>
              <w:rPr>
                <w:rFonts w:ascii="仿宋_GB2312" w:eastAsia="仿宋_GB2312" w:hAnsi="仿宋_GB2312" w:cs="仿宋_GB2312"/>
                <w:sz w:val="24"/>
              </w:rPr>
            </w:pPr>
          </w:p>
        </w:tc>
        <w:tc>
          <w:tcPr>
            <w:tcW w:w="2364" w:type="dxa"/>
            <w:gridSpan w:val="6"/>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left"/>
              <w:rPr>
                <w:rFonts w:ascii="仿宋_GB2312" w:eastAsia="仿宋_GB2312" w:hAnsi="仿宋_GB2312" w:cs="仿宋_GB2312"/>
                <w:sz w:val="24"/>
              </w:rPr>
            </w:pPr>
          </w:p>
        </w:tc>
      </w:tr>
      <w:tr w:rsidR="009A782C">
        <w:trPr>
          <w:cantSplit/>
          <w:trHeight w:val="20"/>
          <w:jc w:val="center"/>
        </w:trPr>
        <w:tc>
          <w:tcPr>
            <w:tcW w:w="766" w:type="dxa"/>
            <w:vMerge w:val="restart"/>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实际募</w:t>
            </w:r>
            <w:r>
              <w:rPr>
                <w:rFonts w:ascii="仿宋_GB2312" w:eastAsia="仿宋_GB2312" w:hAnsi="仿宋_GB2312" w:cs="仿宋_GB2312" w:hint="eastAsia"/>
                <w:sz w:val="24"/>
              </w:rPr>
              <w:lastRenderedPageBreak/>
              <w:t>集资金</w:t>
            </w:r>
          </w:p>
        </w:tc>
        <w:tc>
          <w:tcPr>
            <w:tcW w:w="746" w:type="dxa"/>
            <w:gridSpan w:val="3"/>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金额</w:t>
            </w:r>
          </w:p>
        </w:tc>
        <w:tc>
          <w:tcPr>
            <w:tcW w:w="1761" w:type="dxa"/>
            <w:gridSpan w:val="6"/>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left"/>
              <w:rPr>
                <w:rFonts w:ascii="仿宋_GB2312" w:eastAsia="仿宋_GB2312" w:hAnsi="仿宋_GB2312" w:cs="仿宋_GB2312"/>
                <w:sz w:val="24"/>
              </w:rPr>
            </w:pPr>
          </w:p>
        </w:tc>
        <w:tc>
          <w:tcPr>
            <w:tcW w:w="1701" w:type="dxa"/>
            <w:gridSpan w:val="8"/>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left"/>
              <w:rPr>
                <w:rFonts w:ascii="仿宋_GB2312" w:eastAsia="仿宋_GB2312" w:hAnsi="仿宋_GB2312" w:cs="仿宋_GB2312"/>
                <w:sz w:val="24"/>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left"/>
              <w:rPr>
                <w:rFonts w:ascii="仿宋_GB2312" w:eastAsia="仿宋_GB2312" w:hAnsi="仿宋_GB2312" w:cs="仿宋_GB2312"/>
                <w:sz w:val="24"/>
              </w:rPr>
            </w:pPr>
          </w:p>
        </w:tc>
        <w:tc>
          <w:tcPr>
            <w:tcW w:w="2364" w:type="dxa"/>
            <w:gridSpan w:val="6"/>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left"/>
              <w:rPr>
                <w:rFonts w:ascii="仿宋_GB2312" w:eastAsia="仿宋_GB2312" w:hAnsi="仿宋_GB2312" w:cs="仿宋_GB2312"/>
                <w:sz w:val="24"/>
              </w:rPr>
            </w:pPr>
          </w:p>
        </w:tc>
      </w:tr>
      <w:tr w:rsidR="009A782C">
        <w:trPr>
          <w:cantSplit/>
          <w:trHeight w:val="20"/>
          <w:jc w:val="center"/>
        </w:trPr>
        <w:tc>
          <w:tcPr>
            <w:tcW w:w="766" w:type="dxa"/>
            <w:vMerge/>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left"/>
              <w:rPr>
                <w:rFonts w:ascii="仿宋_GB2312" w:eastAsia="仿宋_GB2312" w:hAnsi="仿宋_GB2312" w:cs="仿宋_GB2312"/>
                <w:sz w:val="24"/>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币种</w:t>
            </w:r>
          </w:p>
        </w:tc>
        <w:tc>
          <w:tcPr>
            <w:tcW w:w="1761" w:type="dxa"/>
            <w:gridSpan w:val="6"/>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1701" w:type="dxa"/>
            <w:gridSpan w:val="8"/>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left"/>
              <w:rPr>
                <w:rFonts w:ascii="仿宋_GB2312" w:eastAsia="仿宋_GB2312" w:hAnsi="仿宋_GB2312" w:cs="仿宋_GB2312"/>
                <w:sz w:val="24"/>
              </w:rPr>
            </w:pPr>
          </w:p>
        </w:tc>
        <w:tc>
          <w:tcPr>
            <w:tcW w:w="2364" w:type="dxa"/>
            <w:gridSpan w:val="6"/>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left"/>
              <w:rPr>
                <w:rFonts w:ascii="仿宋_GB2312" w:eastAsia="仿宋_GB2312" w:hAnsi="仿宋_GB2312" w:cs="仿宋_GB2312"/>
                <w:sz w:val="24"/>
              </w:rPr>
            </w:pPr>
          </w:p>
        </w:tc>
      </w:tr>
      <w:tr w:rsidR="009A782C">
        <w:trPr>
          <w:cantSplit/>
          <w:trHeight w:val="379"/>
          <w:jc w:val="center"/>
        </w:trPr>
        <w:tc>
          <w:tcPr>
            <w:tcW w:w="766" w:type="dxa"/>
            <w:vMerge/>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left"/>
              <w:rPr>
                <w:rFonts w:ascii="仿宋_GB2312" w:eastAsia="仿宋_GB2312" w:hAnsi="仿宋_GB2312" w:cs="仿宋_GB2312"/>
                <w:sz w:val="24"/>
              </w:rPr>
            </w:pPr>
          </w:p>
        </w:tc>
        <w:tc>
          <w:tcPr>
            <w:tcW w:w="4208" w:type="dxa"/>
            <w:gridSpan w:val="17"/>
            <w:tcBorders>
              <w:top w:val="single" w:sz="4" w:space="0" w:color="auto"/>
              <w:left w:val="single" w:sz="4" w:space="0" w:color="auto"/>
              <w:bottom w:val="single" w:sz="4" w:space="0" w:color="auto"/>
              <w:right w:val="single" w:sz="4" w:space="0" w:color="auto"/>
            </w:tcBorders>
            <w:vAlign w:val="center"/>
          </w:tcPr>
          <w:p w:rsidR="009A782C" w:rsidRDefault="00C844CB">
            <w:pPr>
              <w:jc w:val="center"/>
              <w:rPr>
                <w:rFonts w:ascii="仿宋_GB2312" w:eastAsia="仿宋_GB2312" w:hAnsi="仿宋_GB2312" w:cs="仿宋_GB2312"/>
                <w:sz w:val="24"/>
              </w:rPr>
            </w:pPr>
            <w:r>
              <w:rPr>
                <w:rFonts w:ascii="仿宋_GB2312" w:eastAsia="仿宋_GB2312" w:hAnsi="仿宋_GB2312" w:cs="仿宋_GB2312" w:hint="eastAsia"/>
                <w:sz w:val="24"/>
              </w:rPr>
              <w:t>合计金额（折美元）</w:t>
            </w:r>
          </w:p>
        </w:tc>
        <w:tc>
          <w:tcPr>
            <w:tcW w:w="3923" w:type="dxa"/>
            <w:gridSpan w:val="11"/>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left"/>
              <w:outlineLvl w:val="0"/>
              <w:rPr>
                <w:rFonts w:ascii="仿宋_GB2312" w:eastAsia="仿宋_GB2312" w:hAnsi="仿宋_GB2312" w:cs="仿宋_GB2312"/>
                <w:sz w:val="24"/>
              </w:rPr>
            </w:pPr>
          </w:p>
        </w:tc>
      </w:tr>
      <w:tr w:rsidR="009A782C">
        <w:trPr>
          <w:trHeight w:val="480"/>
          <w:jc w:val="center"/>
        </w:trPr>
        <w:tc>
          <w:tcPr>
            <w:tcW w:w="8897" w:type="dxa"/>
            <w:gridSpan w:val="29"/>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宋体" w:hAnsi="宋体"/>
                <w:b/>
                <w:sz w:val="24"/>
              </w:rPr>
            </w:pPr>
            <w:r>
              <w:rPr>
                <w:rFonts w:ascii="黑体" w:eastAsia="黑体" w:hAnsi="黑体" w:hint="eastAsia"/>
                <w:bCs/>
                <w:sz w:val="24"/>
              </w:rPr>
              <w:t>发行募集资金运用信息</w:t>
            </w:r>
          </w:p>
        </w:tc>
      </w:tr>
      <w:tr w:rsidR="009A782C">
        <w:trPr>
          <w:cantSplit/>
          <w:trHeight w:val="20"/>
          <w:jc w:val="center"/>
        </w:trPr>
        <w:tc>
          <w:tcPr>
            <w:tcW w:w="1371" w:type="dxa"/>
            <w:gridSpan w:val="3"/>
            <w:vMerge w:val="restart"/>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国有股减持上缴社保基金情况</w:t>
            </w:r>
          </w:p>
        </w:tc>
        <w:tc>
          <w:tcPr>
            <w:tcW w:w="2186" w:type="dxa"/>
            <w:gridSpan w:val="9"/>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国有股东减持股数</w:t>
            </w:r>
          </w:p>
        </w:tc>
        <w:tc>
          <w:tcPr>
            <w:tcW w:w="1175" w:type="dxa"/>
            <w:gridSpan w:val="3"/>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1660" w:type="dxa"/>
            <w:gridSpan w:val="7"/>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减持金额</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币种</w:t>
            </w:r>
          </w:p>
        </w:tc>
        <w:tc>
          <w:tcPr>
            <w:tcW w:w="946" w:type="dxa"/>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r>
      <w:tr w:rsidR="009A782C">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2186" w:type="dxa"/>
            <w:gridSpan w:val="9"/>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国有股东上缴</w:t>
            </w:r>
          </w:p>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社保基金股数</w:t>
            </w: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1654" w:type="dxa"/>
            <w:gridSpan w:val="6"/>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上缴社保</w:t>
            </w:r>
          </w:p>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基金金额</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币种</w:t>
            </w:r>
          </w:p>
        </w:tc>
        <w:tc>
          <w:tcPr>
            <w:tcW w:w="946" w:type="dxa"/>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r>
      <w:tr w:rsidR="009A782C">
        <w:trPr>
          <w:cantSplit/>
          <w:trHeight w:val="20"/>
          <w:jc w:val="center"/>
        </w:trPr>
        <w:tc>
          <w:tcPr>
            <w:tcW w:w="1371" w:type="dxa"/>
            <w:gridSpan w:val="3"/>
            <w:vMerge w:val="restart"/>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募集资金</w:t>
            </w:r>
          </w:p>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运用计划</w:t>
            </w:r>
          </w:p>
        </w:tc>
        <w:tc>
          <w:tcPr>
            <w:tcW w:w="1335" w:type="dxa"/>
            <w:gridSpan w:val="6"/>
            <w:vMerge w:val="restart"/>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留存境外</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用途</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金额</w:t>
            </w:r>
          </w:p>
        </w:tc>
        <w:tc>
          <w:tcPr>
            <w:tcW w:w="2505" w:type="dxa"/>
            <w:gridSpan w:val="7"/>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币种</w:t>
            </w:r>
          </w:p>
        </w:tc>
      </w:tr>
      <w:tr w:rsidR="009A782C">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A782C" w:rsidRDefault="00C844CB">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经常项下</w:t>
            </w:r>
          </w:p>
          <w:p w:rsidR="009A782C" w:rsidRDefault="00C844CB">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境外支付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c>
          <w:tcPr>
            <w:tcW w:w="2505" w:type="dxa"/>
            <w:gridSpan w:val="7"/>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r>
      <w:tr w:rsidR="009A782C">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境外投资</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c>
          <w:tcPr>
            <w:tcW w:w="2505" w:type="dxa"/>
            <w:gridSpan w:val="7"/>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r>
      <w:tr w:rsidR="009A782C">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境外放款</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c>
          <w:tcPr>
            <w:tcW w:w="2505" w:type="dxa"/>
            <w:gridSpan w:val="7"/>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r>
      <w:tr w:rsidR="009A782C">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其他</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c>
          <w:tcPr>
            <w:tcW w:w="2505" w:type="dxa"/>
            <w:gridSpan w:val="7"/>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r>
      <w:tr w:rsidR="009A782C">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c>
          <w:tcPr>
            <w:tcW w:w="1335" w:type="dxa"/>
            <w:gridSpan w:val="6"/>
            <w:vMerge w:val="restart"/>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调回境内</w:t>
            </w:r>
          </w:p>
        </w:tc>
        <w:tc>
          <w:tcPr>
            <w:tcW w:w="1276" w:type="dxa"/>
            <w:gridSpan w:val="4"/>
            <w:vMerge w:val="restart"/>
            <w:tcBorders>
              <w:top w:val="single" w:sz="4" w:space="0" w:color="auto"/>
              <w:left w:val="single" w:sz="4" w:space="0" w:color="auto"/>
              <w:bottom w:val="single" w:sz="4" w:space="0" w:color="auto"/>
              <w:right w:val="single" w:sz="4" w:space="0" w:color="auto"/>
            </w:tcBorders>
            <w:vAlign w:val="center"/>
          </w:tcPr>
          <w:p w:rsidR="009A782C" w:rsidRDefault="00C844CB">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调回资金</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c>
          <w:tcPr>
            <w:tcW w:w="2505" w:type="dxa"/>
            <w:gridSpan w:val="7"/>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r>
      <w:tr w:rsidR="009A782C">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c>
          <w:tcPr>
            <w:tcW w:w="1276" w:type="dxa"/>
            <w:gridSpan w:val="4"/>
            <w:vMerge/>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280" w:lineRule="exact"/>
              <w:jc w:val="center"/>
              <w:outlineLvl w:val="0"/>
              <w:rPr>
                <w:rFonts w:ascii="仿宋_GB2312" w:eastAsia="仿宋_GB2312" w:hAnsi="仿宋_GB2312" w:cs="仿宋_GB2312"/>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c>
          <w:tcPr>
            <w:tcW w:w="2505" w:type="dxa"/>
            <w:gridSpan w:val="7"/>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r>
      <w:tr w:rsidR="009A782C">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A782C" w:rsidRDefault="00C844CB">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折美元合计</w:t>
            </w:r>
          </w:p>
        </w:tc>
        <w:tc>
          <w:tcPr>
            <w:tcW w:w="4915" w:type="dxa"/>
            <w:gridSpan w:val="16"/>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r>
      <w:tr w:rsidR="009A782C">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其中</w:t>
            </w:r>
            <w:r>
              <w:rPr>
                <w:rFonts w:ascii="仿宋_GB2312" w:eastAsia="仿宋_GB2312" w:hAnsi="仿宋_GB2312" w:cs="仿宋_GB2312" w:hint="eastAsia"/>
                <w:sz w:val="24"/>
              </w:rPr>
              <w:t>：</w:t>
            </w:r>
            <w:r>
              <w:rPr>
                <w:rFonts w:ascii="仿宋_GB2312" w:eastAsia="仿宋_GB2312" w:hAnsi="仿宋_GB2312" w:cs="仿宋_GB2312" w:hint="eastAsia"/>
                <w:sz w:val="24"/>
              </w:rPr>
              <w:t>结汇</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2"/>
              <w:rPr>
                <w:rFonts w:ascii="仿宋_GB2312" w:eastAsia="仿宋_GB2312" w:hAnsi="仿宋_GB2312" w:cs="仿宋_GB2312"/>
                <w:sz w:val="24"/>
              </w:rPr>
            </w:pPr>
          </w:p>
        </w:tc>
        <w:tc>
          <w:tcPr>
            <w:tcW w:w="2505" w:type="dxa"/>
            <w:gridSpan w:val="7"/>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2"/>
              <w:rPr>
                <w:rFonts w:ascii="仿宋_GB2312" w:eastAsia="仿宋_GB2312" w:hAnsi="仿宋_GB2312" w:cs="仿宋_GB2312"/>
                <w:sz w:val="24"/>
              </w:rPr>
            </w:pPr>
          </w:p>
        </w:tc>
      </w:tr>
      <w:tr w:rsidR="009A782C">
        <w:trPr>
          <w:cantSplit/>
          <w:trHeight w:val="20"/>
          <w:jc w:val="center"/>
        </w:trPr>
        <w:tc>
          <w:tcPr>
            <w:tcW w:w="1371" w:type="dxa"/>
            <w:gridSpan w:val="3"/>
            <w:vMerge w:val="restart"/>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账户信息</w:t>
            </w:r>
          </w:p>
        </w:tc>
        <w:tc>
          <w:tcPr>
            <w:tcW w:w="2611" w:type="dxa"/>
            <w:gridSpan w:val="10"/>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开户银行</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资本项目结算账户账号</w:t>
            </w:r>
          </w:p>
        </w:tc>
        <w:tc>
          <w:tcPr>
            <w:tcW w:w="2505" w:type="dxa"/>
            <w:gridSpan w:val="7"/>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r>
      <w:tr w:rsidR="009A782C">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c>
          <w:tcPr>
            <w:tcW w:w="2611" w:type="dxa"/>
            <w:gridSpan w:val="10"/>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c>
          <w:tcPr>
            <w:tcW w:w="2505" w:type="dxa"/>
            <w:gridSpan w:val="7"/>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r>
      <w:tr w:rsidR="009A782C">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c>
          <w:tcPr>
            <w:tcW w:w="2611" w:type="dxa"/>
            <w:gridSpan w:val="10"/>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c>
          <w:tcPr>
            <w:tcW w:w="2505" w:type="dxa"/>
            <w:gridSpan w:val="7"/>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r>
      <w:tr w:rsidR="009A782C">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c>
          <w:tcPr>
            <w:tcW w:w="2611" w:type="dxa"/>
            <w:gridSpan w:val="10"/>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c>
          <w:tcPr>
            <w:tcW w:w="2505" w:type="dxa"/>
            <w:gridSpan w:val="7"/>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340" w:lineRule="exact"/>
              <w:jc w:val="center"/>
              <w:outlineLvl w:val="0"/>
              <w:rPr>
                <w:rFonts w:ascii="仿宋_GB2312" w:eastAsia="仿宋_GB2312" w:hAnsi="仿宋_GB2312" w:cs="仿宋_GB2312"/>
                <w:sz w:val="24"/>
              </w:rPr>
            </w:pPr>
          </w:p>
        </w:tc>
      </w:tr>
      <w:tr w:rsidR="009A782C">
        <w:trPr>
          <w:trHeight w:val="20"/>
          <w:jc w:val="center"/>
        </w:trPr>
        <w:tc>
          <w:tcPr>
            <w:tcW w:w="8897" w:type="dxa"/>
            <w:gridSpan w:val="29"/>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宋体" w:hAnsi="宋体"/>
                <w:b/>
                <w:sz w:val="24"/>
              </w:rPr>
            </w:pPr>
            <w:r>
              <w:rPr>
                <w:rFonts w:ascii="黑体" w:eastAsia="黑体" w:hAnsi="黑体" w:hint="eastAsia"/>
                <w:bCs/>
                <w:sz w:val="24"/>
              </w:rPr>
              <w:t>回购境外股份信息</w:t>
            </w:r>
          </w:p>
        </w:tc>
      </w:tr>
      <w:tr w:rsidR="009A782C">
        <w:trPr>
          <w:trHeight w:val="20"/>
          <w:jc w:val="center"/>
        </w:trPr>
        <w:tc>
          <w:tcPr>
            <w:tcW w:w="3557" w:type="dxa"/>
            <w:gridSpan w:val="12"/>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证监会备案文号或网址（如有）</w:t>
            </w:r>
          </w:p>
        </w:tc>
        <w:tc>
          <w:tcPr>
            <w:tcW w:w="5340" w:type="dxa"/>
            <w:gridSpan w:val="17"/>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r>
      <w:tr w:rsidR="009A782C">
        <w:trPr>
          <w:cantSplit/>
          <w:trHeight w:val="20"/>
          <w:jc w:val="center"/>
        </w:trPr>
        <w:tc>
          <w:tcPr>
            <w:tcW w:w="801" w:type="dxa"/>
            <w:gridSpan w:val="2"/>
            <w:vMerge w:val="restart"/>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回购</w:t>
            </w:r>
          </w:p>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计划</w:t>
            </w:r>
          </w:p>
        </w:tc>
        <w:tc>
          <w:tcPr>
            <w:tcW w:w="2756" w:type="dxa"/>
            <w:gridSpan w:val="10"/>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回购证券种类</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1275" w:type="dxa"/>
            <w:gridSpan w:val="5"/>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回购数量</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r>
      <w:tr w:rsidR="009A782C">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2756" w:type="dxa"/>
            <w:gridSpan w:val="10"/>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回购金额</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1275" w:type="dxa"/>
            <w:gridSpan w:val="5"/>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回购期限</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r>
      <w:tr w:rsidR="009A782C">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711" w:type="dxa"/>
            <w:gridSpan w:val="2"/>
            <w:vMerge w:val="restart"/>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计划使用金额</w:t>
            </w:r>
          </w:p>
        </w:tc>
        <w:tc>
          <w:tcPr>
            <w:tcW w:w="2045" w:type="dxa"/>
            <w:gridSpan w:val="8"/>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境外解决</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1275" w:type="dxa"/>
            <w:gridSpan w:val="5"/>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币种</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r>
      <w:tr w:rsidR="009A782C">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711" w:type="dxa"/>
            <w:gridSpan w:val="2"/>
            <w:vMerge w:val="restart"/>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境内</w:t>
            </w:r>
          </w:p>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汇出</w:t>
            </w:r>
          </w:p>
        </w:tc>
        <w:tc>
          <w:tcPr>
            <w:tcW w:w="1334" w:type="dxa"/>
            <w:gridSpan w:val="6"/>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购汇</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1275" w:type="dxa"/>
            <w:gridSpan w:val="5"/>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币种</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r>
      <w:tr w:rsidR="009A782C">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1334" w:type="dxa"/>
            <w:gridSpan w:val="6"/>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自有外汇</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1275" w:type="dxa"/>
            <w:gridSpan w:val="5"/>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币种</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r>
      <w:tr w:rsidR="009A782C">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1334" w:type="dxa"/>
            <w:gridSpan w:val="6"/>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人民币</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1275" w:type="dxa"/>
            <w:gridSpan w:val="5"/>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r>
      <w:tr w:rsidR="009A782C">
        <w:trPr>
          <w:cantSplit/>
          <w:trHeight w:val="20"/>
          <w:jc w:val="center"/>
        </w:trPr>
        <w:tc>
          <w:tcPr>
            <w:tcW w:w="801" w:type="dxa"/>
            <w:gridSpan w:val="2"/>
            <w:vMerge w:val="restart"/>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回购</w:t>
            </w:r>
          </w:p>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完成</w:t>
            </w:r>
          </w:p>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情况</w:t>
            </w:r>
          </w:p>
        </w:tc>
        <w:tc>
          <w:tcPr>
            <w:tcW w:w="2756" w:type="dxa"/>
            <w:gridSpan w:val="10"/>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回购证券种类</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1275" w:type="dxa"/>
            <w:gridSpan w:val="5"/>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回购数量</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r>
      <w:tr w:rsidR="009A782C">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2756" w:type="dxa"/>
            <w:gridSpan w:val="10"/>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回购金额</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1275" w:type="dxa"/>
            <w:gridSpan w:val="5"/>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回购期限</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r>
      <w:tr w:rsidR="009A782C">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711" w:type="dxa"/>
            <w:gridSpan w:val="2"/>
            <w:vMerge w:val="restart"/>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实际使用金额</w:t>
            </w:r>
          </w:p>
        </w:tc>
        <w:tc>
          <w:tcPr>
            <w:tcW w:w="2045" w:type="dxa"/>
            <w:gridSpan w:val="8"/>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境外解决</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1275" w:type="dxa"/>
            <w:gridSpan w:val="5"/>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币种</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r>
      <w:tr w:rsidR="009A782C">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711" w:type="dxa"/>
            <w:gridSpan w:val="2"/>
            <w:vMerge w:val="restart"/>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境内汇出</w:t>
            </w:r>
          </w:p>
        </w:tc>
        <w:tc>
          <w:tcPr>
            <w:tcW w:w="1334" w:type="dxa"/>
            <w:gridSpan w:val="6"/>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购汇</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1275" w:type="dxa"/>
            <w:gridSpan w:val="5"/>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币种</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r>
      <w:tr w:rsidR="009A782C">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1334" w:type="dxa"/>
            <w:gridSpan w:val="6"/>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自有外汇</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1275" w:type="dxa"/>
            <w:gridSpan w:val="5"/>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币种</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r>
      <w:tr w:rsidR="009A782C">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1334" w:type="dxa"/>
            <w:gridSpan w:val="6"/>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人民币</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1275" w:type="dxa"/>
            <w:gridSpan w:val="5"/>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r>
      <w:tr w:rsidR="009A782C">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1413" w:type="dxa"/>
            <w:gridSpan w:val="3"/>
            <w:vMerge w:val="restart"/>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回购剩余</w:t>
            </w:r>
          </w:p>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资金调回</w:t>
            </w:r>
          </w:p>
        </w:tc>
        <w:tc>
          <w:tcPr>
            <w:tcW w:w="1343" w:type="dxa"/>
            <w:gridSpan w:val="7"/>
            <w:vMerge w:val="restart"/>
            <w:tcBorders>
              <w:top w:val="single" w:sz="4" w:space="0" w:color="auto"/>
              <w:left w:val="single" w:sz="4" w:space="0" w:color="auto"/>
              <w:bottom w:val="single" w:sz="4" w:space="0" w:color="auto"/>
              <w:right w:val="single" w:sz="4" w:space="0" w:color="auto"/>
            </w:tcBorders>
            <w:vAlign w:val="center"/>
          </w:tcPr>
          <w:p w:rsidR="009A782C" w:rsidRDefault="00C844CB">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调回资金</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1275" w:type="dxa"/>
            <w:gridSpan w:val="5"/>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币种</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r>
      <w:tr w:rsidR="009A782C">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1343" w:type="dxa"/>
            <w:gridSpan w:val="7"/>
            <w:vMerge/>
            <w:tcBorders>
              <w:top w:val="single" w:sz="4" w:space="0" w:color="auto"/>
              <w:left w:val="single" w:sz="4" w:space="0" w:color="auto"/>
              <w:bottom w:val="single" w:sz="4" w:space="0" w:color="auto"/>
              <w:right w:val="single" w:sz="4" w:space="0" w:color="auto"/>
            </w:tcBorders>
            <w:vAlign w:val="center"/>
          </w:tcPr>
          <w:p w:rsidR="009A782C" w:rsidRDefault="009A782C">
            <w:pPr>
              <w:spacing w:line="280" w:lineRule="exact"/>
              <w:jc w:val="center"/>
              <w:rPr>
                <w:rFonts w:ascii="仿宋_GB2312" w:eastAsia="仿宋_GB2312" w:hAnsi="仿宋_GB2312" w:cs="仿宋_GB2312"/>
                <w:sz w:val="24"/>
              </w:rPr>
            </w:pP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1275" w:type="dxa"/>
            <w:gridSpan w:val="5"/>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币种</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r>
      <w:tr w:rsidR="009A782C">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1343" w:type="dxa"/>
            <w:gridSpan w:val="7"/>
            <w:tcBorders>
              <w:top w:val="single" w:sz="4" w:space="0" w:color="auto"/>
              <w:left w:val="single" w:sz="4" w:space="0" w:color="auto"/>
              <w:bottom w:val="single" w:sz="4" w:space="0" w:color="auto"/>
              <w:right w:val="single" w:sz="4" w:space="0" w:color="auto"/>
            </w:tcBorders>
            <w:vAlign w:val="center"/>
          </w:tcPr>
          <w:p w:rsidR="009A782C" w:rsidRDefault="00C844CB">
            <w:pPr>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折美元合计</w:t>
            </w:r>
          </w:p>
        </w:tc>
        <w:tc>
          <w:tcPr>
            <w:tcW w:w="5340" w:type="dxa"/>
            <w:gridSpan w:val="17"/>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r>
      <w:tr w:rsidR="009A782C">
        <w:trPr>
          <w:trHeight w:val="20"/>
          <w:jc w:val="center"/>
        </w:trPr>
        <w:tc>
          <w:tcPr>
            <w:tcW w:w="8897" w:type="dxa"/>
            <w:gridSpan w:val="29"/>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宋体" w:hAnsi="宋体"/>
                <w:b/>
                <w:sz w:val="24"/>
              </w:rPr>
            </w:pPr>
            <w:r>
              <w:rPr>
                <w:rFonts w:ascii="黑体" w:eastAsia="黑体" w:hAnsi="黑体" w:hint="eastAsia"/>
                <w:bCs/>
                <w:sz w:val="24"/>
              </w:rPr>
              <w:t>可转债转股信息</w:t>
            </w:r>
          </w:p>
        </w:tc>
      </w:tr>
      <w:tr w:rsidR="009A782C">
        <w:trPr>
          <w:trHeight w:val="20"/>
          <w:jc w:val="center"/>
        </w:trPr>
        <w:tc>
          <w:tcPr>
            <w:tcW w:w="3982" w:type="dxa"/>
            <w:gridSpan w:val="13"/>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证监会备案文号或网址（如有）</w:t>
            </w:r>
          </w:p>
        </w:tc>
        <w:tc>
          <w:tcPr>
            <w:tcW w:w="4915" w:type="dxa"/>
            <w:gridSpan w:val="16"/>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r>
      <w:tr w:rsidR="009A782C">
        <w:trPr>
          <w:trHeight w:val="20"/>
          <w:jc w:val="center"/>
        </w:trPr>
        <w:tc>
          <w:tcPr>
            <w:tcW w:w="2223" w:type="dxa"/>
            <w:gridSpan w:val="6"/>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外债登记编号</w:t>
            </w:r>
          </w:p>
        </w:tc>
        <w:tc>
          <w:tcPr>
            <w:tcW w:w="1759" w:type="dxa"/>
            <w:gridSpan w:val="7"/>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转换比例</w:t>
            </w:r>
          </w:p>
        </w:tc>
        <w:tc>
          <w:tcPr>
            <w:tcW w:w="2505" w:type="dxa"/>
            <w:gridSpan w:val="7"/>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r>
      <w:tr w:rsidR="009A782C">
        <w:trPr>
          <w:trHeight w:val="20"/>
          <w:jc w:val="center"/>
        </w:trPr>
        <w:tc>
          <w:tcPr>
            <w:tcW w:w="2223" w:type="dxa"/>
            <w:gridSpan w:val="6"/>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债转股前债券总数</w:t>
            </w:r>
          </w:p>
        </w:tc>
        <w:tc>
          <w:tcPr>
            <w:tcW w:w="1759" w:type="dxa"/>
            <w:gridSpan w:val="7"/>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债转股前总股数</w:t>
            </w:r>
          </w:p>
        </w:tc>
        <w:tc>
          <w:tcPr>
            <w:tcW w:w="2505" w:type="dxa"/>
            <w:gridSpan w:val="7"/>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r>
      <w:tr w:rsidR="009A782C">
        <w:trPr>
          <w:trHeight w:val="20"/>
          <w:jc w:val="center"/>
        </w:trPr>
        <w:tc>
          <w:tcPr>
            <w:tcW w:w="2223" w:type="dxa"/>
            <w:gridSpan w:val="6"/>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本次转换债券数</w:t>
            </w:r>
          </w:p>
        </w:tc>
        <w:tc>
          <w:tcPr>
            <w:tcW w:w="1759" w:type="dxa"/>
            <w:gridSpan w:val="7"/>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本次转换股数</w:t>
            </w:r>
          </w:p>
        </w:tc>
        <w:tc>
          <w:tcPr>
            <w:tcW w:w="2505" w:type="dxa"/>
            <w:gridSpan w:val="7"/>
            <w:tcBorders>
              <w:top w:val="single" w:sz="4" w:space="0" w:color="auto"/>
              <w:left w:val="single" w:sz="4" w:space="0" w:color="auto"/>
              <w:bottom w:val="single" w:sz="4" w:space="0" w:color="auto"/>
              <w:right w:val="single" w:sz="4" w:space="0" w:color="auto"/>
            </w:tcBorders>
            <w:vAlign w:val="center"/>
          </w:tcPr>
          <w:p w:rsidR="009A782C" w:rsidRDefault="009A782C">
            <w:pPr>
              <w:spacing w:line="340" w:lineRule="exact"/>
              <w:jc w:val="center"/>
              <w:rPr>
                <w:rFonts w:ascii="仿宋_GB2312" w:eastAsia="仿宋_GB2312" w:hAnsi="仿宋_GB2312" w:cs="仿宋_GB2312"/>
                <w:sz w:val="24"/>
              </w:rPr>
            </w:pPr>
          </w:p>
        </w:tc>
      </w:tr>
      <w:tr w:rsidR="009A782C">
        <w:trPr>
          <w:trHeight w:val="20"/>
          <w:jc w:val="center"/>
        </w:trPr>
        <w:tc>
          <w:tcPr>
            <w:tcW w:w="8897" w:type="dxa"/>
            <w:gridSpan w:val="29"/>
            <w:tcBorders>
              <w:top w:val="single" w:sz="4" w:space="0" w:color="auto"/>
              <w:left w:val="single" w:sz="4" w:space="0" w:color="auto"/>
              <w:bottom w:val="single" w:sz="4" w:space="0" w:color="auto"/>
              <w:right w:val="single" w:sz="4" w:space="0" w:color="auto"/>
            </w:tcBorders>
            <w:vAlign w:val="center"/>
          </w:tcPr>
          <w:p w:rsidR="009A782C" w:rsidRDefault="00C844CB">
            <w:pPr>
              <w:spacing w:line="340" w:lineRule="exact"/>
              <w:jc w:val="center"/>
              <w:rPr>
                <w:rFonts w:ascii="宋体" w:hAnsi="宋体"/>
                <w:b/>
                <w:sz w:val="24"/>
              </w:rPr>
            </w:pPr>
            <w:r>
              <w:rPr>
                <w:rFonts w:ascii="黑体" w:eastAsia="黑体" w:hAnsi="黑体" w:hint="eastAsia"/>
                <w:bCs/>
                <w:sz w:val="24"/>
              </w:rPr>
              <w:t>其他需要说明的信息</w:t>
            </w:r>
          </w:p>
        </w:tc>
      </w:tr>
      <w:tr w:rsidR="009A782C">
        <w:trPr>
          <w:trHeight w:val="2127"/>
          <w:jc w:val="center"/>
        </w:trPr>
        <w:tc>
          <w:tcPr>
            <w:tcW w:w="8897" w:type="dxa"/>
            <w:gridSpan w:val="29"/>
            <w:tcBorders>
              <w:top w:val="single" w:sz="4" w:space="0" w:color="auto"/>
              <w:left w:val="single" w:sz="4" w:space="0" w:color="auto"/>
              <w:bottom w:val="single" w:sz="4" w:space="0" w:color="auto"/>
              <w:right w:val="single" w:sz="4" w:space="0" w:color="auto"/>
            </w:tcBorders>
            <w:vAlign w:val="center"/>
          </w:tcPr>
          <w:p w:rsidR="009A782C" w:rsidRDefault="009A782C">
            <w:pPr>
              <w:keepNext/>
              <w:keepLines/>
              <w:spacing w:line="520" w:lineRule="exact"/>
              <w:jc w:val="center"/>
              <w:outlineLvl w:val="0"/>
              <w:rPr>
                <w:rFonts w:ascii="宋体" w:hAnsi="宋体"/>
                <w:b/>
                <w:sz w:val="24"/>
              </w:rPr>
            </w:pPr>
          </w:p>
        </w:tc>
      </w:tr>
      <w:tr w:rsidR="009A782C">
        <w:trPr>
          <w:trHeight w:val="3106"/>
          <w:jc w:val="center"/>
        </w:trPr>
        <w:tc>
          <w:tcPr>
            <w:tcW w:w="8897" w:type="dxa"/>
            <w:gridSpan w:val="29"/>
            <w:tcBorders>
              <w:top w:val="single" w:sz="4" w:space="0" w:color="auto"/>
              <w:left w:val="single" w:sz="4" w:space="0" w:color="auto"/>
              <w:bottom w:val="single" w:sz="4" w:space="0" w:color="auto"/>
              <w:right w:val="single" w:sz="4" w:space="0" w:color="auto"/>
            </w:tcBorders>
            <w:vAlign w:val="center"/>
          </w:tcPr>
          <w:p w:rsidR="009A782C" w:rsidRDefault="00C844CB">
            <w:pPr>
              <w:spacing w:line="460" w:lineRule="exact"/>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本公司承诺对此登记表中由本公司填写内容的真实性负责，并承诺按照外汇管理有关规定办理相关业务，接受国家外汇管理部门的监督、管理和检查。</w:t>
            </w:r>
          </w:p>
          <w:p w:rsidR="009A782C" w:rsidRDefault="009A782C">
            <w:pPr>
              <w:keepNext/>
              <w:keepLines/>
              <w:spacing w:line="460" w:lineRule="exact"/>
              <w:jc w:val="center"/>
              <w:outlineLvl w:val="2"/>
              <w:rPr>
                <w:rFonts w:ascii="仿宋_GB2312" w:eastAsia="仿宋_GB2312" w:hAnsi="仿宋_GB2312" w:cs="仿宋_GB2312"/>
                <w:b/>
                <w:sz w:val="24"/>
              </w:rPr>
            </w:pPr>
          </w:p>
          <w:p w:rsidR="009A782C" w:rsidRDefault="00C844CB">
            <w:pPr>
              <w:spacing w:line="460" w:lineRule="exact"/>
              <w:ind w:firstLineChars="950" w:firstLine="2289"/>
              <w:rPr>
                <w:rFonts w:ascii="仿宋_GB2312" w:eastAsia="仿宋_GB2312" w:hAnsi="仿宋_GB2312" w:cs="仿宋_GB2312"/>
                <w:b/>
                <w:sz w:val="24"/>
              </w:rPr>
            </w:pPr>
            <w:r>
              <w:rPr>
                <w:rFonts w:ascii="仿宋_GB2312" w:eastAsia="仿宋_GB2312" w:hAnsi="仿宋_GB2312" w:cs="仿宋_GB2312" w:hint="eastAsia"/>
                <w:b/>
                <w:sz w:val="24"/>
              </w:rPr>
              <w:t>境外上市的境内公司（名称及公章）：</w:t>
            </w:r>
          </w:p>
          <w:p w:rsidR="009A782C" w:rsidRDefault="00C844CB">
            <w:pPr>
              <w:spacing w:line="460" w:lineRule="exact"/>
              <w:jc w:val="center"/>
              <w:rPr>
                <w:rFonts w:ascii="宋体" w:hAnsi="宋体"/>
                <w:b/>
                <w:sz w:val="24"/>
              </w:rPr>
            </w:pPr>
            <w:r>
              <w:rPr>
                <w:rFonts w:ascii="仿宋_GB2312" w:eastAsia="仿宋_GB2312" w:hAnsi="仿宋_GB2312" w:cs="仿宋_GB2312" w:hint="eastAsia"/>
                <w:b/>
                <w:sz w:val="24"/>
              </w:rPr>
              <w:t xml:space="preserve">                  </w:t>
            </w:r>
            <w:r>
              <w:rPr>
                <w:rFonts w:ascii="仿宋_GB2312" w:eastAsia="仿宋_GB2312" w:hAnsi="仿宋_GB2312" w:cs="仿宋_GB2312" w:hint="eastAsia"/>
                <w:b/>
                <w:sz w:val="24"/>
              </w:rPr>
              <w:t>年</w:t>
            </w:r>
            <w:r>
              <w:rPr>
                <w:rFonts w:ascii="仿宋_GB2312" w:eastAsia="仿宋_GB2312" w:hAnsi="仿宋_GB2312" w:cs="仿宋_GB2312" w:hint="eastAsia"/>
                <w:b/>
                <w:sz w:val="24"/>
              </w:rPr>
              <w:t xml:space="preserve">   </w:t>
            </w:r>
            <w:r>
              <w:rPr>
                <w:rFonts w:ascii="仿宋_GB2312" w:eastAsia="仿宋_GB2312" w:hAnsi="仿宋_GB2312" w:cs="仿宋_GB2312" w:hint="eastAsia"/>
                <w:b/>
                <w:sz w:val="24"/>
              </w:rPr>
              <w:t>月</w:t>
            </w:r>
            <w:r>
              <w:rPr>
                <w:rFonts w:ascii="仿宋_GB2312" w:eastAsia="仿宋_GB2312" w:hAnsi="仿宋_GB2312" w:cs="仿宋_GB2312" w:hint="eastAsia"/>
                <w:b/>
                <w:sz w:val="24"/>
              </w:rPr>
              <w:t xml:space="preserve">   </w:t>
            </w:r>
            <w:r>
              <w:rPr>
                <w:rFonts w:ascii="仿宋_GB2312" w:eastAsia="仿宋_GB2312" w:hAnsi="仿宋_GB2312" w:cs="仿宋_GB2312" w:hint="eastAsia"/>
                <w:b/>
                <w:sz w:val="24"/>
              </w:rPr>
              <w:t>日</w:t>
            </w:r>
          </w:p>
        </w:tc>
      </w:tr>
    </w:tbl>
    <w:p w:rsidR="009A782C" w:rsidRDefault="009A782C" w:rsidP="00CB150D">
      <w:pPr>
        <w:adjustRightInd w:val="0"/>
        <w:snapToGrid w:val="0"/>
        <w:spacing w:line="324" w:lineRule="auto"/>
        <w:ind w:firstLineChars="200" w:firstLine="482"/>
        <w:rPr>
          <w:rFonts w:ascii="仿宋_GB2312" w:eastAsia="仿宋_GB2312" w:hAnsi="仿宋_GB2312" w:cs="仿宋_GB2312"/>
          <w:b/>
          <w:sz w:val="24"/>
          <w:szCs w:val="24"/>
        </w:rPr>
      </w:pPr>
    </w:p>
    <w:p w:rsidR="009A782C" w:rsidRDefault="00C844CB" w:rsidP="00CB150D">
      <w:pPr>
        <w:adjustRightInd w:val="0"/>
        <w:snapToGrid w:val="0"/>
        <w:spacing w:line="324" w:lineRule="auto"/>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填表说明：</w:t>
      </w:r>
    </w:p>
    <w:p w:rsidR="009A782C" w:rsidRDefault="00C844CB" w:rsidP="00CB150D">
      <w:pPr>
        <w:adjustRightInd w:val="0"/>
        <w:snapToGrid w:val="0"/>
        <w:spacing w:line="324"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境内公司填报本登记表，银行审核无误并在资本项目信息系统办理登记后，将加盖业务印章的业务登记凭证交境内公司。</w:t>
      </w:r>
    </w:p>
    <w:p w:rsidR="009A782C" w:rsidRDefault="00C844CB" w:rsidP="00CB150D">
      <w:pPr>
        <w:adjustRightInd w:val="0"/>
        <w:snapToGrid w:val="0"/>
        <w:spacing w:line="324"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若本登记表中已经银行登记确认的相关事项发生变更，境内公司申请办理变更登记时，应按照变更后的内容重新填写本登记表，并对变更内容进行标注。银行审核无误后在资本项目信息系统办理变更登记，并向境内公司出具新的加盖业务印章的业务登记凭证，同时收回原业务登记凭证。</w:t>
      </w:r>
    </w:p>
    <w:p w:rsidR="009A782C" w:rsidRDefault="009A782C" w:rsidP="00CB150D">
      <w:pPr>
        <w:pStyle w:val="BodyTextFirstIndent21"/>
        <w:adjustRightInd w:val="0"/>
        <w:snapToGrid w:val="0"/>
        <w:spacing w:line="324" w:lineRule="auto"/>
        <w:ind w:leftChars="0" w:left="0" w:right="0" w:firstLineChars="200" w:firstLine="560"/>
        <w:rPr>
          <w:rFonts w:ascii="仿宋_GB2312" w:eastAsia="仿宋_GB2312" w:hAnsi="仿宋_GB2312" w:cs="仿宋_GB2312"/>
          <w:sz w:val="28"/>
          <w:szCs w:val="28"/>
        </w:rPr>
      </w:pPr>
    </w:p>
    <w:p w:rsidR="009A782C" w:rsidRDefault="009A782C" w:rsidP="00CB150D">
      <w:pPr>
        <w:adjustRightInd w:val="0"/>
        <w:snapToGrid w:val="0"/>
        <w:spacing w:line="324" w:lineRule="auto"/>
        <w:ind w:firstLineChars="200" w:firstLine="480"/>
        <w:rPr>
          <w:rFonts w:ascii="仿宋_GB2312" w:eastAsia="仿宋_GB2312" w:hAnsi="仿宋_GB2312" w:cs="仿宋_GB2312"/>
          <w:sz w:val="24"/>
          <w:szCs w:val="24"/>
        </w:rPr>
      </w:pPr>
    </w:p>
    <w:p w:rsidR="009A782C" w:rsidRDefault="00C844CB">
      <w:pPr>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附件</w:t>
      </w:r>
      <w:r>
        <w:rPr>
          <w:rFonts w:ascii="黑体" w:eastAsia="黑体" w:hAnsi="黑体" w:hint="eastAsia"/>
          <w:sz w:val="32"/>
          <w:szCs w:val="32"/>
        </w:rPr>
        <w:t>3</w:t>
      </w:r>
    </w:p>
    <w:p w:rsidR="009A782C" w:rsidRDefault="009A782C">
      <w:pPr>
        <w:rPr>
          <w:rFonts w:ascii="黑体" w:eastAsia="黑体" w:hAnsi="黑体"/>
          <w:sz w:val="32"/>
          <w:szCs w:val="32"/>
        </w:rPr>
      </w:pPr>
    </w:p>
    <w:p w:rsidR="009A782C" w:rsidRDefault="00C844CB">
      <w:pPr>
        <w:adjustRightInd w:val="0"/>
        <w:snapToGrid w:val="0"/>
        <w:contextualSpacing/>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接收境内再投资免登记试点业务实施细则</w:t>
      </w:r>
    </w:p>
    <w:p w:rsidR="009A782C" w:rsidRDefault="009A782C">
      <w:pPr>
        <w:pStyle w:val="BodyTextFirstIndent21"/>
        <w:ind w:left="482" w:hanging="62"/>
        <w:rPr>
          <w:rFonts w:ascii="Times New Roman" w:hAnsi="Times New Roman" w:cs="Times New Roman"/>
        </w:rPr>
      </w:pPr>
    </w:p>
    <w:p w:rsidR="009A782C" w:rsidRDefault="00C844CB">
      <w:pPr>
        <w:adjustRightInd w:val="0"/>
        <w:snapToGrid w:val="0"/>
        <w:spacing w:line="324"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第一条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为便利</w:t>
      </w:r>
      <w:r>
        <w:rPr>
          <w:rFonts w:ascii="仿宋_GB2312" w:eastAsia="仿宋_GB2312" w:hAnsi="仿宋_GB2312" w:cs="仿宋_GB2312" w:hint="eastAsia"/>
          <w:sz w:val="32"/>
          <w:szCs w:val="32"/>
        </w:rPr>
        <w:t>外商投资企业开展境内再投资，服务实体经济发展，制订</w:t>
      </w:r>
      <w:r>
        <w:rPr>
          <w:rFonts w:ascii="仿宋_GB2312" w:eastAsia="仿宋_GB2312" w:hAnsi="仿宋_GB2312" w:cs="仿宋_GB2312" w:hint="eastAsia"/>
          <w:bCs/>
          <w:sz w:val="32"/>
          <w:szCs w:val="32"/>
        </w:rPr>
        <w:t>本实施细则。</w:t>
      </w:r>
    </w:p>
    <w:p w:rsidR="009A782C" w:rsidRDefault="00C844CB">
      <w:pPr>
        <w:autoSpaceDE w:val="0"/>
        <w:adjustRightInd w:val="0"/>
        <w:snapToGrid w:val="0"/>
        <w:spacing w:line="324" w:lineRule="auto"/>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实施细则所称接收境内再投资免登记试点业务，是指在不违反国家法律法规、宏观调控要求以及外商投资准入特别管理措施（负面清单）的前提下，允许外商投资企业开展境内再投资时，注册在雄安新区内的被投资企业或股权出让机构（以下统称“资金接收方”）无需办理接收境内再投资登记（房地产企业除外）。</w:t>
      </w:r>
    </w:p>
    <w:p w:rsidR="009A782C" w:rsidRDefault="00C844CB">
      <w:pPr>
        <w:autoSpaceDE w:val="0"/>
        <w:adjustRightInd w:val="0"/>
        <w:snapToGrid w:val="0"/>
        <w:spacing w:line="324" w:lineRule="auto"/>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前款所称外商投资企业境内再投资，是指外商投资企业使用外汇资本金，以原币或结汇所得人民币在境内进行股权投资。</w:t>
      </w:r>
    </w:p>
    <w:p w:rsidR="009A782C" w:rsidRDefault="00C844CB">
      <w:pPr>
        <w:adjustRightInd w:val="0"/>
        <w:snapToGrid w:val="0"/>
        <w:spacing w:line="324"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第三条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被投资企业接收</w:t>
      </w:r>
      <w:r>
        <w:rPr>
          <w:rFonts w:ascii="仿宋_GB2312" w:eastAsia="仿宋_GB2312" w:hAnsi="仿宋_GB2312" w:cs="仿宋_GB2312" w:hint="eastAsia"/>
          <w:bCs/>
          <w:sz w:val="32"/>
          <w:szCs w:val="32"/>
        </w:rPr>
        <w:t>外商投资企业以外汇支付新设或增资款项的，需开立外汇资本金账户接收投资款。股权出让机构接收外商投资企业</w:t>
      </w:r>
      <w:r>
        <w:rPr>
          <w:rFonts w:ascii="仿宋_GB2312" w:eastAsia="仿宋_GB2312" w:hAnsi="仿宋_GB2312" w:cs="仿宋_GB2312" w:hint="eastAsia"/>
          <w:bCs/>
          <w:sz w:val="32"/>
          <w:szCs w:val="32"/>
        </w:rPr>
        <w:t>以外汇支付股权出让对价的，需开立资本项目结算账户收取转股对价。</w:t>
      </w:r>
    </w:p>
    <w:p w:rsidR="009A782C" w:rsidRDefault="00C844CB">
      <w:pPr>
        <w:adjustRightInd w:val="0"/>
        <w:snapToGrid w:val="0"/>
        <w:spacing w:line="324"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第四条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投资性外商投资企业（外商投资性公司、外商投资创业投资企业、外商投资股权投资企业）以人民币形式（直接结汇所得人民币或结汇待支付账户内的人民币）进行境内再投资，相关人民币再投资资金可直接划入资金接收方的境内人民币账户。</w:t>
      </w:r>
    </w:p>
    <w:p w:rsidR="009A782C" w:rsidRDefault="00C844CB">
      <w:pPr>
        <w:adjustRightInd w:val="0"/>
        <w:snapToGrid w:val="0"/>
        <w:spacing w:line="324"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第五条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非投资性外商投资企业以人民币形式（直接结汇所</w:t>
      </w:r>
      <w:r>
        <w:rPr>
          <w:rFonts w:ascii="仿宋_GB2312" w:eastAsia="仿宋_GB2312" w:hAnsi="仿宋_GB2312" w:cs="仿宋_GB2312" w:hint="eastAsia"/>
          <w:bCs/>
          <w:sz w:val="32"/>
          <w:szCs w:val="32"/>
        </w:rPr>
        <w:lastRenderedPageBreak/>
        <w:t>得人民币或结汇待支付账户内的人民币）进行境内再投资，被投资企业应开立结汇待支付账户接收再投资资金。涉及股权出让交易的，相关人民币资金可直接划转至股权出让机构的境内人民币账户</w:t>
      </w:r>
      <w:r>
        <w:rPr>
          <w:rFonts w:ascii="仿宋_GB2312" w:eastAsia="仿宋_GB2312" w:hAnsi="仿宋_GB2312" w:cs="仿宋_GB2312" w:hint="eastAsia"/>
          <w:bCs/>
          <w:sz w:val="32"/>
          <w:szCs w:val="32"/>
        </w:rPr>
        <w:t>。</w:t>
      </w:r>
    </w:p>
    <w:p w:rsidR="009A782C" w:rsidRDefault="00C844CB">
      <w:pPr>
        <w:adjustRightInd w:val="0"/>
        <w:snapToGrid w:val="0"/>
        <w:spacing w:line="324"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第六条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外商投资企业办理境内再投资资金划出时，应向银行提交以下材料：</w:t>
      </w:r>
    </w:p>
    <w:p w:rsidR="009A782C" w:rsidRDefault="00C844CB">
      <w:pPr>
        <w:adjustRightInd w:val="0"/>
        <w:snapToGrid w:val="0"/>
        <w:spacing w:line="324"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（一）《试点地区境内再投资业务申请表》（见附）；</w:t>
      </w:r>
    </w:p>
    <w:p w:rsidR="009A782C" w:rsidRDefault="00C844CB">
      <w:pPr>
        <w:adjustRightInd w:val="0"/>
        <w:snapToGrid w:val="0"/>
        <w:spacing w:line="324"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（二）境内再投资相关真实性证明材料（投资合同、协议或企业有关权力机构再投资相关决议等）。</w:t>
      </w:r>
    </w:p>
    <w:p w:rsidR="009A782C" w:rsidRDefault="00C844CB">
      <w:pPr>
        <w:autoSpaceDE w:val="0"/>
        <w:adjustRightInd w:val="0"/>
        <w:snapToGrid w:val="0"/>
        <w:spacing w:line="324" w:lineRule="auto"/>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银行审核材料无误并确认资金接收方注册在雄安新区内、划出资金规模与再投资实际投资规模相匹配后，方可办理再投资资金划出。</w:t>
      </w:r>
    </w:p>
    <w:p w:rsidR="009A782C" w:rsidRDefault="00C844CB">
      <w:pPr>
        <w:autoSpaceDE w:val="0"/>
        <w:adjustRightInd w:val="0"/>
        <w:snapToGrid w:val="0"/>
        <w:spacing w:line="324" w:lineRule="auto"/>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银行应按照数据采集规范相关要求报送账户结汇或境内划转信息。对接收境内再投资免登记试点业务，如报送账户结汇信息需在“结汇详细用途”内标明“再投资免登记”，如报送境内划转信息需在“发票</w:t>
      </w:r>
      <w:r>
        <w:rPr>
          <w:rFonts w:ascii="仿宋_GB2312" w:eastAsia="仿宋_GB2312" w:hAnsi="仿宋_GB2312" w:cs="仿宋_GB2312" w:hint="eastAsia"/>
          <w:bCs/>
          <w:sz w:val="32"/>
          <w:szCs w:val="32"/>
        </w:rPr>
        <w:t>号”内标明“再投资免登记”。</w:t>
      </w:r>
    </w:p>
    <w:p w:rsidR="009A782C" w:rsidRDefault="00C844CB">
      <w:pPr>
        <w:adjustRightInd w:val="0"/>
        <w:snapToGrid w:val="0"/>
        <w:spacing w:line="324"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第七条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资金接收方因接收外商投资企业境内再投资资金开立相关外汇账户或结汇待支付账户时，应向银行提交以下材料：</w:t>
      </w:r>
    </w:p>
    <w:p w:rsidR="009A782C" w:rsidRDefault="00C844CB">
      <w:pPr>
        <w:numPr>
          <w:ilvl w:val="0"/>
          <w:numId w:val="2"/>
        </w:numPr>
        <w:adjustRightInd w:val="0"/>
        <w:snapToGrid w:val="0"/>
        <w:spacing w:line="324"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《试点地区境内再投资业务申请表》；</w:t>
      </w:r>
    </w:p>
    <w:p w:rsidR="009A782C" w:rsidRDefault="00C844CB">
      <w:pPr>
        <w:numPr>
          <w:ilvl w:val="0"/>
          <w:numId w:val="2"/>
        </w:numPr>
        <w:adjustRightInd w:val="0"/>
        <w:snapToGrid w:val="0"/>
        <w:spacing w:line="324"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资金接收方加盖单位公章的营业执照复印件。</w:t>
      </w:r>
    </w:p>
    <w:p w:rsidR="009A782C" w:rsidRDefault="00C844CB">
      <w:pPr>
        <w:adjustRightInd w:val="0"/>
        <w:snapToGrid w:val="0"/>
        <w:spacing w:line="324" w:lineRule="auto"/>
        <w:ind w:firstLineChars="200" w:firstLine="640"/>
        <w:rPr>
          <w:rFonts w:ascii="Times New Roman" w:eastAsia="仿宋_GB2312" w:hAnsi="Times New Roman" w:cs="Times New Roman"/>
          <w:bCs/>
          <w:sz w:val="32"/>
          <w:szCs w:val="32"/>
        </w:rPr>
      </w:pPr>
      <w:r>
        <w:rPr>
          <w:rFonts w:ascii="仿宋_GB2312" w:eastAsia="仿宋_GB2312" w:hAnsi="仿宋_GB2312" w:cs="仿宋_GB2312" w:hint="eastAsia"/>
          <w:bCs/>
          <w:sz w:val="32"/>
          <w:szCs w:val="32"/>
        </w:rPr>
        <w:t>银行办理再投资资金入账，还需确认划入资金方与资金接收方的商业关系</w:t>
      </w:r>
      <w:r>
        <w:rPr>
          <w:rFonts w:ascii="仿宋_GB2312" w:eastAsia="仿宋_GB2312" w:hAnsi="仿宋_GB2312" w:cs="仿宋_GB2312" w:hint="eastAsia"/>
          <w:bCs/>
          <w:sz w:val="32"/>
          <w:szCs w:val="32"/>
        </w:rPr>
        <w:t>是否</w:t>
      </w:r>
      <w:r>
        <w:rPr>
          <w:rFonts w:ascii="Times New Roman" w:eastAsia="仿宋_GB2312" w:hAnsi="Times New Roman" w:cs="Times New Roman" w:hint="eastAsia"/>
          <w:bCs/>
          <w:sz w:val="32"/>
          <w:szCs w:val="32"/>
        </w:rPr>
        <w:t>真实、合规。</w:t>
      </w:r>
    </w:p>
    <w:p w:rsidR="009A782C" w:rsidRDefault="00C844CB">
      <w:pPr>
        <w:adjustRightInd w:val="0"/>
        <w:snapToGrid w:val="0"/>
        <w:spacing w:line="324"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第八条</w:t>
      </w:r>
      <w:r>
        <w:rPr>
          <w:rFonts w:ascii="Times New Roman" w:eastAsia="仿宋_GB2312" w:hAnsi="Times New Roman" w:cs="Times New Roman" w:hint="eastAsia"/>
          <w:bCs/>
          <w:sz w:val="32"/>
          <w:szCs w:val="32"/>
        </w:rPr>
        <w:t xml:space="preserve"> </w:t>
      </w:r>
      <w:r>
        <w:rPr>
          <w:rFonts w:ascii="Times New Roman" w:eastAsia="仿宋_GB2312" w:hAnsi="Times New Roman" w:cs="Times New Roman" w:hint="eastAsia"/>
          <w:bCs/>
          <w:sz w:val="32"/>
          <w:szCs w:val="32"/>
        </w:rPr>
        <w:t>银行应做好资金流向和用途监测工作，发现存在异常或涉嫌违规的，应暂停办理相关资金汇划，并报告国家外汇管</w:t>
      </w:r>
      <w:r>
        <w:rPr>
          <w:rFonts w:ascii="Times New Roman" w:eastAsia="仿宋_GB2312" w:hAnsi="Times New Roman" w:cs="Times New Roman" w:hint="eastAsia"/>
          <w:bCs/>
          <w:sz w:val="32"/>
          <w:szCs w:val="32"/>
        </w:rPr>
        <w:lastRenderedPageBreak/>
        <w:t>理局雄安新区分局。</w:t>
      </w:r>
    </w:p>
    <w:p w:rsidR="009A782C" w:rsidRDefault="00C844CB">
      <w:pPr>
        <w:adjustRightInd w:val="0"/>
        <w:snapToGrid w:val="0"/>
        <w:spacing w:line="324" w:lineRule="auto"/>
        <w:ind w:firstLineChars="200" w:firstLine="640"/>
        <w:rPr>
          <w:rFonts w:ascii="Times New Roman" w:eastAsia="仿宋_GB2312" w:hAnsi="Times New Roman" w:cs="Times New Roman"/>
          <w:bCs/>
          <w:sz w:val="32"/>
          <w:szCs w:val="32"/>
        </w:rPr>
      </w:pPr>
      <w:r>
        <w:rPr>
          <w:rFonts w:eastAsia="仿宋_GB2312" w:cs="Times New Roman" w:hint="eastAsia"/>
          <w:bCs/>
          <w:sz w:val="32"/>
          <w:szCs w:val="32"/>
        </w:rPr>
        <w:t>第九条</w:t>
      </w:r>
      <w:r>
        <w:rPr>
          <w:rFonts w:eastAsia="仿宋_GB2312" w:cs="Times New Roman" w:hint="eastAsia"/>
          <w:bCs/>
          <w:sz w:val="32"/>
          <w:szCs w:val="32"/>
        </w:rPr>
        <w:t xml:space="preserve"> </w:t>
      </w:r>
      <w:r>
        <w:rPr>
          <w:rFonts w:ascii="Times New Roman" w:eastAsia="仿宋_GB2312" w:hAnsi="Times New Roman" w:cs="Times New Roman" w:hint="eastAsia"/>
          <w:bCs/>
          <w:sz w:val="32"/>
          <w:szCs w:val="32"/>
        </w:rPr>
        <w:t>境内个人接收外商投资企业境内再投资股权转让对价款的，按现行规定要求无需办理再</w:t>
      </w:r>
      <w:r>
        <w:rPr>
          <w:rFonts w:ascii="Times New Roman" w:eastAsia="仿宋_GB2312" w:hAnsi="Times New Roman" w:cs="Times New Roman" w:hint="eastAsia"/>
          <w:bCs/>
          <w:sz w:val="32"/>
          <w:szCs w:val="32"/>
        </w:rPr>
        <w:t>投资登记，相关资金可以直接划转至境内个人的境内人民币账户。</w:t>
      </w:r>
    </w:p>
    <w:p w:rsidR="009A782C" w:rsidRDefault="00C844CB">
      <w:pPr>
        <w:adjustRightInd w:val="0"/>
        <w:snapToGrid w:val="0"/>
        <w:spacing w:line="324" w:lineRule="auto"/>
        <w:ind w:firstLineChars="200" w:firstLine="640"/>
        <w:rPr>
          <w:rFonts w:ascii="Times New Roman" w:eastAsia="仿宋_GB2312" w:hAnsi="Times New Roman" w:cs="Times New Roman"/>
          <w:sz w:val="32"/>
          <w:szCs w:val="32"/>
        </w:rPr>
      </w:pPr>
      <w:r>
        <w:rPr>
          <w:rFonts w:eastAsia="仿宋_GB2312" w:cs="Times New Roman" w:hint="eastAsia"/>
          <w:bCs/>
          <w:sz w:val="32"/>
          <w:szCs w:val="32"/>
        </w:rPr>
        <w:t>第十条</w:t>
      </w:r>
      <w:r>
        <w:rPr>
          <w:rFonts w:eastAsia="仿宋_GB2312" w:cs="Times New Roman" w:hint="eastAsia"/>
          <w:bCs/>
          <w:sz w:val="32"/>
          <w:szCs w:val="32"/>
        </w:rPr>
        <w:t xml:space="preserve"> </w:t>
      </w:r>
      <w:r>
        <w:rPr>
          <w:rFonts w:ascii="Times New Roman" w:eastAsia="仿宋_GB2312" w:hAnsi="Times New Roman" w:cs="Times New Roman" w:hint="eastAsia"/>
          <w:kern w:val="0"/>
          <w:sz w:val="32"/>
          <w:szCs w:val="32"/>
        </w:rPr>
        <w:t>被投资企业使用接收到的外商投资企业境内</w:t>
      </w:r>
      <w:r>
        <w:rPr>
          <w:rFonts w:ascii="Times New Roman" w:eastAsia="仿宋_GB2312" w:hAnsi="Times New Roman" w:cs="Times New Roman" w:hint="eastAsia"/>
          <w:sz w:val="32"/>
          <w:szCs w:val="32"/>
        </w:rPr>
        <w:t>再投资资金继续在境内开展再投资的，按照本实施细则办理。</w:t>
      </w:r>
    </w:p>
    <w:p w:rsidR="009A782C" w:rsidRDefault="00C844CB">
      <w:pPr>
        <w:adjustRightInd w:val="0"/>
        <w:snapToGrid w:val="0"/>
        <w:spacing w:line="324" w:lineRule="auto"/>
        <w:ind w:firstLineChars="200" w:firstLine="640"/>
        <w:rPr>
          <w:rFonts w:ascii="仿宋_GB2312" w:eastAsia="仿宋_GB2312" w:hAnsi="仿宋_GB2312" w:cs="仿宋_GB2312"/>
          <w:bCs/>
          <w:sz w:val="32"/>
          <w:szCs w:val="32"/>
        </w:rPr>
      </w:pPr>
      <w:r>
        <w:rPr>
          <w:rFonts w:eastAsia="仿宋_GB2312" w:cs="Times New Roman" w:hint="eastAsia"/>
          <w:sz w:val="32"/>
          <w:szCs w:val="32"/>
        </w:rPr>
        <w:t>第十一条</w:t>
      </w:r>
      <w:r>
        <w:rPr>
          <w:rFonts w:eastAsia="仿宋_GB2312" w:cs="Times New Roman" w:hint="eastAsia"/>
          <w:sz w:val="32"/>
          <w:szCs w:val="32"/>
        </w:rPr>
        <w:t xml:space="preserve"> </w:t>
      </w:r>
      <w:r>
        <w:rPr>
          <w:rFonts w:eastAsia="仿宋_GB2312" w:hint="eastAsia"/>
          <w:bCs/>
          <w:sz w:val="32"/>
          <w:szCs w:val="32"/>
        </w:rPr>
        <w:t>其他未尽事宜，适用现行外汇管理规定。</w:t>
      </w:r>
    </w:p>
    <w:p w:rsidR="009A782C" w:rsidRDefault="009A782C">
      <w:pPr>
        <w:adjustRightInd w:val="0"/>
        <w:snapToGrid w:val="0"/>
        <w:spacing w:line="324" w:lineRule="auto"/>
        <w:ind w:firstLineChars="200" w:firstLine="640"/>
        <w:rPr>
          <w:rFonts w:ascii="仿宋_GB2312" w:eastAsia="仿宋_GB2312" w:hAnsi="仿宋_GB2312" w:cs="仿宋_GB2312"/>
          <w:bCs/>
          <w:sz w:val="32"/>
          <w:szCs w:val="32"/>
        </w:rPr>
      </w:pPr>
    </w:p>
    <w:p w:rsidR="009A782C" w:rsidRDefault="00C844CB">
      <w:pPr>
        <w:adjustRightInd w:val="0"/>
        <w:snapToGrid w:val="0"/>
        <w:spacing w:line="324"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附：试点地区境内再投资业务申请表</w:t>
      </w:r>
    </w:p>
    <w:p w:rsidR="009A782C" w:rsidRDefault="009A782C">
      <w:pPr>
        <w:ind w:firstLineChars="200" w:firstLine="640"/>
        <w:rPr>
          <w:rFonts w:ascii="Times New Roman" w:eastAsia="仿宋_GB2312" w:hAnsi="Times New Roman" w:cs="Times New Roman"/>
          <w:bCs/>
          <w:sz w:val="32"/>
          <w:szCs w:val="32"/>
        </w:rPr>
      </w:pPr>
    </w:p>
    <w:p w:rsidR="009A782C" w:rsidRDefault="009A782C">
      <w:pPr>
        <w:ind w:firstLineChars="200" w:firstLine="640"/>
        <w:rPr>
          <w:rFonts w:ascii="Times New Roman" w:eastAsia="仿宋_GB2312" w:hAnsi="Times New Roman" w:cs="Times New Roman"/>
          <w:bCs/>
          <w:sz w:val="32"/>
          <w:szCs w:val="32"/>
        </w:rPr>
      </w:pPr>
    </w:p>
    <w:p w:rsidR="009A782C" w:rsidRDefault="00C844CB">
      <w:pPr>
        <w:adjustRightInd w:val="0"/>
        <w:snapToGrid w:val="0"/>
        <w:rPr>
          <w:rFonts w:ascii="黑体" w:eastAsia="黑体" w:hAnsi="黑体"/>
          <w:kern w:val="0"/>
          <w:sz w:val="32"/>
          <w:szCs w:val="32"/>
        </w:rPr>
      </w:pPr>
      <w:r>
        <w:rPr>
          <w:rFonts w:ascii="Times New Roman" w:eastAsia="仿宋_GB2312" w:hAnsi="Times New Roman" w:cs="Times New Roman"/>
          <w:bCs/>
          <w:sz w:val="32"/>
          <w:szCs w:val="32"/>
        </w:rPr>
        <w:br w:type="page"/>
      </w:r>
      <w:r>
        <w:rPr>
          <w:rFonts w:ascii="黑体" w:eastAsia="黑体" w:hAnsi="黑体" w:hint="eastAsia"/>
          <w:kern w:val="0"/>
          <w:sz w:val="32"/>
          <w:szCs w:val="32"/>
        </w:rPr>
        <w:lastRenderedPageBreak/>
        <w:t>附</w:t>
      </w:r>
    </w:p>
    <w:p w:rsidR="009A782C" w:rsidRDefault="009A782C">
      <w:pPr>
        <w:adjustRightInd w:val="0"/>
        <w:snapToGrid w:val="0"/>
        <w:rPr>
          <w:rFonts w:ascii="Times New Roman" w:hAnsi="Times New Roman" w:cs="Times New Roman"/>
          <w:kern w:val="0"/>
          <w:sz w:val="30"/>
          <w:szCs w:val="30"/>
        </w:rPr>
      </w:pPr>
    </w:p>
    <w:p w:rsidR="009A782C" w:rsidRDefault="00C844CB">
      <w:pPr>
        <w:adjustRightInd w:val="0"/>
        <w:snapToGrid w:val="0"/>
        <w:jc w:val="center"/>
        <w:rPr>
          <w:rFonts w:ascii="方正小标宋简体" w:eastAsia="方正小标宋简体" w:hAnsi="方正小标宋简体" w:cs="方正小标宋简体"/>
          <w:bCs/>
          <w:kern w:val="0"/>
          <w:sz w:val="36"/>
          <w:szCs w:val="36"/>
        </w:rPr>
      </w:pPr>
      <w:r>
        <w:rPr>
          <w:rFonts w:ascii="方正小标宋简体" w:eastAsia="方正小标宋简体" w:hAnsi="方正小标宋简体" w:cs="方正小标宋简体" w:hint="eastAsia"/>
          <w:bCs/>
          <w:kern w:val="0"/>
          <w:sz w:val="36"/>
          <w:szCs w:val="36"/>
        </w:rPr>
        <w:t>试点地区境内再投资业务申请表</w:t>
      </w:r>
    </w:p>
    <w:p w:rsidR="009A782C" w:rsidRDefault="009A782C">
      <w:pPr>
        <w:adjustRightInd w:val="0"/>
        <w:snapToGrid w:val="0"/>
        <w:jc w:val="center"/>
        <w:rPr>
          <w:rFonts w:ascii="方正小标宋简体" w:eastAsia="方正小标宋简体" w:hAnsi="方正小标宋简体" w:cs="方正小标宋简体"/>
          <w:bCs/>
          <w:kern w:val="0"/>
          <w:sz w:val="36"/>
          <w:szCs w:val="36"/>
        </w:rPr>
      </w:pP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070"/>
        <w:gridCol w:w="24"/>
        <w:gridCol w:w="2315"/>
        <w:gridCol w:w="2110"/>
        <w:gridCol w:w="2439"/>
      </w:tblGrid>
      <w:tr w:rsidR="009A782C">
        <w:trPr>
          <w:trHeight w:hRule="exact" w:val="510"/>
          <w:jc w:val="center"/>
        </w:trPr>
        <w:tc>
          <w:tcPr>
            <w:tcW w:w="2070" w:type="dxa"/>
            <w:vAlign w:val="center"/>
          </w:tcPr>
          <w:p w:rsidR="009A782C" w:rsidRDefault="00C844CB">
            <w:pPr>
              <w:snapToGrid w:val="0"/>
              <w:rPr>
                <w:rFonts w:ascii="Times New Roman" w:eastAsia="黑体" w:hAnsi="Times New Roman" w:cs="Times New Roman"/>
                <w:bCs/>
                <w:sz w:val="24"/>
                <w:szCs w:val="24"/>
              </w:rPr>
            </w:pPr>
            <w:r>
              <w:rPr>
                <w:rFonts w:ascii="Times New Roman" w:eastAsia="黑体" w:hAnsi="Times New Roman" w:cs="Times New Roman"/>
                <w:bCs/>
                <w:sz w:val="24"/>
                <w:szCs w:val="24"/>
              </w:rPr>
              <w:t>一、申请事项</w:t>
            </w:r>
          </w:p>
        </w:tc>
        <w:tc>
          <w:tcPr>
            <w:tcW w:w="6888" w:type="dxa"/>
            <w:gridSpan w:val="4"/>
            <w:vAlign w:val="center"/>
          </w:tcPr>
          <w:p w:rsidR="009A782C" w:rsidRDefault="00C844CB">
            <w:pPr>
              <w:snapToGrid w:val="0"/>
              <w:rPr>
                <w:rFonts w:ascii="Times New Roman" w:eastAsia="黑体" w:hAnsi="Times New Roman" w:cs="Times New Roman"/>
                <w:bCs/>
                <w:sz w:val="24"/>
                <w:szCs w:val="24"/>
              </w:rPr>
            </w:pPr>
            <w:r>
              <w:rPr>
                <w:rFonts w:ascii="仿宋_GB2312" w:eastAsia="仿宋_GB2312" w:hAnsi="仿宋_GB2312" w:cs="仿宋_GB2312" w:hint="eastAsia"/>
                <w:sz w:val="24"/>
                <w:szCs w:val="24"/>
              </w:rPr>
              <w:t>□账户开立</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□再投资资金划出</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□再投资资金入账</w:t>
            </w:r>
          </w:p>
        </w:tc>
      </w:tr>
      <w:tr w:rsidR="009A782C">
        <w:trPr>
          <w:trHeight w:hRule="exact" w:val="510"/>
          <w:jc w:val="center"/>
        </w:trPr>
        <w:tc>
          <w:tcPr>
            <w:tcW w:w="8958" w:type="dxa"/>
            <w:gridSpan w:val="5"/>
            <w:vAlign w:val="center"/>
          </w:tcPr>
          <w:p w:rsidR="009A782C" w:rsidRDefault="00C844CB">
            <w:pPr>
              <w:snapToGrid w:val="0"/>
              <w:rPr>
                <w:rFonts w:ascii="Times New Roman" w:eastAsia="黑体" w:hAnsi="Times New Roman" w:cs="Times New Roman"/>
                <w:bCs/>
                <w:sz w:val="24"/>
                <w:szCs w:val="24"/>
              </w:rPr>
            </w:pPr>
            <w:r>
              <w:rPr>
                <w:rFonts w:ascii="Times New Roman" w:eastAsia="黑体" w:hAnsi="Times New Roman" w:cs="Times New Roman"/>
                <w:bCs/>
                <w:sz w:val="24"/>
                <w:szCs w:val="24"/>
              </w:rPr>
              <w:t>二、开展再投资企业基本情况</w:t>
            </w:r>
          </w:p>
        </w:tc>
      </w:tr>
      <w:tr w:rsidR="009A782C">
        <w:trPr>
          <w:trHeight w:hRule="exact" w:val="510"/>
          <w:jc w:val="center"/>
        </w:trPr>
        <w:tc>
          <w:tcPr>
            <w:tcW w:w="2094" w:type="dxa"/>
            <w:gridSpan w:val="2"/>
            <w:vAlign w:val="center"/>
          </w:tcPr>
          <w:p w:rsidR="009A782C" w:rsidRDefault="00C844C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企业代码</w:t>
            </w:r>
          </w:p>
        </w:tc>
        <w:tc>
          <w:tcPr>
            <w:tcW w:w="2315" w:type="dxa"/>
            <w:vAlign w:val="center"/>
          </w:tcPr>
          <w:p w:rsidR="009A782C" w:rsidRDefault="009A782C">
            <w:pPr>
              <w:keepNext/>
              <w:keepLines/>
              <w:snapToGrid w:val="0"/>
              <w:jc w:val="center"/>
              <w:outlineLvl w:val="0"/>
              <w:rPr>
                <w:rFonts w:ascii="仿宋_GB2312" w:eastAsia="仿宋_GB2312" w:hAnsi="仿宋_GB2312" w:cs="仿宋_GB2312"/>
                <w:b/>
                <w:sz w:val="24"/>
                <w:szCs w:val="24"/>
              </w:rPr>
            </w:pPr>
          </w:p>
        </w:tc>
        <w:tc>
          <w:tcPr>
            <w:tcW w:w="2110" w:type="dxa"/>
            <w:vAlign w:val="center"/>
          </w:tcPr>
          <w:p w:rsidR="009A782C" w:rsidRDefault="00C844C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企业名称</w:t>
            </w:r>
          </w:p>
        </w:tc>
        <w:tc>
          <w:tcPr>
            <w:tcW w:w="2439" w:type="dxa"/>
            <w:vAlign w:val="center"/>
          </w:tcPr>
          <w:p w:rsidR="009A782C" w:rsidRDefault="009A782C">
            <w:pPr>
              <w:keepNext/>
              <w:keepLines/>
              <w:snapToGrid w:val="0"/>
              <w:jc w:val="center"/>
              <w:outlineLvl w:val="0"/>
              <w:rPr>
                <w:rFonts w:ascii="仿宋_GB2312" w:eastAsia="仿宋_GB2312" w:hAnsi="仿宋_GB2312" w:cs="仿宋_GB2312"/>
                <w:b/>
                <w:sz w:val="24"/>
                <w:szCs w:val="24"/>
              </w:rPr>
            </w:pPr>
          </w:p>
        </w:tc>
      </w:tr>
      <w:tr w:rsidR="009A782C">
        <w:trPr>
          <w:trHeight w:hRule="exact" w:val="510"/>
          <w:jc w:val="center"/>
        </w:trPr>
        <w:tc>
          <w:tcPr>
            <w:tcW w:w="2094" w:type="dxa"/>
            <w:gridSpan w:val="2"/>
            <w:vAlign w:val="center"/>
          </w:tcPr>
          <w:p w:rsidR="009A782C" w:rsidRDefault="00C844C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企业性质</w:t>
            </w:r>
          </w:p>
        </w:tc>
        <w:tc>
          <w:tcPr>
            <w:tcW w:w="6864" w:type="dxa"/>
            <w:gridSpan w:val="3"/>
            <w:vAlign w:val="center"/>
          </w:tcPr>
          <w:p w:rsidR="009A782C" w:rsidRDefault="00C844CB">
            <w:pPr>
              <w:snapToGrid w:val="0"/>
              <w:jc w:val="left"/>
              <w:rPr>
                <w:rFonts w:ascii="仿宋_GB2312" w:eastAsia="仿宋_GB2312" w:hAnsi="仿宋_GB2312" w:cs="仿宋_GB2312"/>
                <w:b/>
                <w:sz w:val="24"/>
                <w:szCs w:val="24"/>
              </w:rPr>
            </w:pPr>
            <w:r>
              <w:rPr>
                <w:rFonts w:ascii="仿宋_GB2312" w:eastAsia="仿宋_GB2312" w:hAnsi="仿宋_GB2312" w:cs="仿宋_GB2312" w:hint="eastAsia"/>
                <w:sz w:val="24"/>
                <w:szCs w:val="24"/>
              </w:rPr>
              <w:t>□投资性外商投资企业</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□非投资性外商投资企业</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□其他</w:t>
            </w:r>
          </w:p>
        </w:tc>
      </w:tr>
      <w:tr w:rsidR="009A782C">
        <w:trPr>
          <w:trHeight w:hRule="exact" w:val="510"/>
          <w:jc w:val="center"/>
        </w:trPr>
        <w:tc>
          <w:tcPr>
            <w:tcW w:w="8958" w:type="dxa"/>
            <w:gridSpan w:val="5"/>
            <w:vAlign w:val="center"/>
          </w:tcPr>
          <w:p w:rsidR="009A782C" w:rsidRDefault="00C844CB">
            <w:pPr>
              <w:snapToGrid w:val="0"/>
              <w:rPr>
                <w:rFonts w:ascii="Times New Roman" w:eastAsia="黑体" w:hAnsi="Times New Roman" w:cs="Times New Roman"/>
                <w:bCs/>
                <w:sz w:val="24"/>
                <w:szCs w:val="24"/>
              </w:rPr>
            </w:pPr>
            <w:r>
              <w:rPr>
                <w:rFonts w:ascii="Times New Roman" w:eastAsia="黑体" w:hAnsi="Times New Roman" w:cs="Times New Roman"/>
                <w:bCs/>
                <w:sz w:val="24"/>
                <w:szCs w:val="24"/>
              </w:rPr>
              <w:t>三、被投资企业基本情况</w:t>
            </w:r>
          </w:p>
        </w:tc>
      </w:tr>
      <w:tr w:rsidR="009A782C">
        <w:trPr>
          <w:trHeight w:hRule="exact" w:val="510"/>
          <w:jc w:val="center"/>
        </w:trPr>
        <w:tc>
          <w:tcPr>
            <w:tcW w:w="2094" w:type="dxa"/>
            <w:gridSpan w:val="2"/>
            <w:vAlign w:val="center"/>
          </w:tcPr>
          <w:p w:rsidR="009A782C" w:rsidRDefault="00C844C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主体代码</w:t>
            </w:r>
          </w:p>
        </w:tc>
        <w:tc>
          <w:tcPr>
            <w:tcW w:w="2315" w:type="dxa"/>
            <w:vAlign w:val="center"/>
          </w:tcPr>
          <w:p w:rsidR="009A782C" w:rsidRDefault="009A782C">
            <w:pPr>
              <w:keepNext/>
              <w:keepLines/>
              <w:snapToGrid w:val="0"/>
              <w:jc w:val="center"/>
              <w:outlineLvl w:val="0"/>
              <w:rPr>
                <w:rFonts w:ascii="仿宋_GB2312" w:eastAsia="仿宋_GB2312" w:hAnsi="仿宋_GB2312" w:cs="仿宋_GB2312"/>
                <w:b/>
                <w:sz w:val="24"/>
                <w:szCs w:val="24"/>
              </w:rPr>
            </w:pPr>
          </w:p>
        </w:tc>
        <w:tc>
          <w:tcPr>
            <w:tcW w:w="2110" w:type="dxa"/>
            <w:vAlign w:val="center"/>
          </w:tcPr>
          <w:p w:rsidR="009A782C" w:rsidRDefault="00C844C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主体名称</w:t>
            </w:r>
          </w:p>
        </w:tc>
        <w:tc>
          <w:tcPr>
            <w:tcW w:w="2439" w:type="dxa"/>
            <w:vAlign w:val="center"/>
          </w:tcPr>
          <w:p w:rsidR="009A782C" w:rsidRDefault="009A782C">
            <w:pPr>
              <w:keepNext/>
              <w:keepLines/>
              <w:snapToGrid w:val="0"/>
              <w:jc w:val="center"/>
              <w:outlineLvl w:val="0"/>
              <w:rPr>
                <w:rFonts w:ascii="仿宋_GB2312" w:eastAsia="仿宋_GB2312" w:hAnsi="仿宋_GB2312" w:cs="仿宋_GB2312"/>
                <w:b/>
                <w:sz w:val="24"/>
                <w:szCs w:val="24"/>
              </w:rPr>
            </w:pPr>
          </w:p>
        </w:tc>
      </w:tr>
      <w:tr w:rsidR="009A782C">
        <w:trPr>
          <w:trHeight w:hRule="exact" w:val="510"/>
          <w:jc w:val="center"/>
        </w:trPr>
        <w:tc>
          <w:tcPr>
            <w:tcW w:w="2094" w:type="dxa"/>
            <w:gridSpan w:val="2"/>
            <w:vAlign w:val="center"/>
          </w:tcPr>
          <w:p w:rsidR="009A782C" w:rsidRDefault="00C844C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经营范围</w:t>
            </w:r>
          </w:p>
        </w:tc>
        <w:tc>
          <w:tcPr>
            <w:tcW w:w="2315" w:type="dxa"/>
            <w:vAlign w:val="center"/>
          </w:tcPr>
          <w:p w:rsidR="009A782C" w:rsidRDefault="009A782C">
            <w:pPr>
              <w:keepNext/>
              <w:keepLines/>
              <w:snapToGrid w:val="0"/>
              <w:jc w:val="center"/>
              <w:outlineLvl w:val="0"/>
              <w:rPr>
                <w:rFonts w:ascii="仿宋_GB2312" w:eastAsia="仿宋_GB2312" w:hAnsi="仿宋_GB2312" w:cs="仿宋_GB2312"/>
                <w:b/>
                <w:sz w:val="24"/>
                <w:szCs w:val="24"/>
              </w:rPr>
            </w:pPr>
          </w:p>
        </w:tc>
        <w:tc>
          <w:tcPr>
            <w:tcW w:w="2110" w:type="dxa"/>
            <w:vAlign w:val="center"/>
          </w:tcPr>
          <w:p w:rsidR="009A782C" w:rsidRDefault="00C844C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所属行业</w:t>
            </w:r>
          </w:p>
        </w:tc>
        <w:tc>
          <w:tcPr>
            <w:tcW w:w="2439" w:type="dxa"/>
            <w:vAlign w:val="center"/>
          </w:tcPr>
          <w:p w:rsidR="009A782C" w:rsidRDefault="009A782C">
            <w:pPr>
              <w:keepNext/>
              <w:keepLines/>
              <w:snapToGrid w:val="0"/>
              <w:jc w:val="center"/>
              <w:outlineLvl w:val="0"/>
              <w:rPr>
                <w:rFonts w:ascii="仿宋_GB2312" w:eastAsia="仿宋_GB2312" w:hAnsi="仿宋_GB2312" w:cs="仿宋_GB2312"/>
                <w:b/>
                <w:sz w:val="24"/>
                <w:szCs w:val="24"/>
              </w:rPr>
            </w:pPr>
          </w:p>
        </w:tc>
      </w:tr>
      <w:tr w:rsidR="009A782C">
        <w:trPr>
          <w:trHeight w:hRule="exact" w:val="700"/>
          <w:jc w:val="center"/>
        </w:trPr>
        <w:tc>
          <w:tcPr>
            <w:tcW w:w="2094" w:type="dxa"/>
            <w:gridSpan w:val="2"/>
            <w:vAlign w:val="center"/>
          </w:tcPr>
          <w:p w:rsidR="009A782C" w:rsidRDefault="00C844C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注册地址</w:t>
            </w:r>
          </w:p>
        </w:tc>
        <w:tc>
          <w:tcPr>
            <w:tcW w:w="2315" w:type="dxa"/>
            <w:vAlign w:val="center"/>
          </w:tcPr>
          <w:p w:rsidR="009A782C" w:rsidRDefault="009A782C">
            <w:pPr>
              <w:keepNext/>
              <w:keepLines/>
              <w:snapToGrid w:val="0"/>
              <w:jc w:val="center"/>
              <w:outlineLvl w:val="0"/>
              <w:rPr>
                <w:rFonts w:ascii="仿宋_GB2312" w:eastAsia="仿宋_GB2312" w:hAnsi="仿宋_GB2312" w:cs="仿宋_GB2312"/>
                <w:b/>
                <w:sz w:val="24"/>
                <w:szCs w:val="24"/>
              </w:rPr>
            </w:pPr>
          </w:p>
        </w:tc>
        <w:tc>
          <w:tcPr>
            <w:tcW w:w="2110" w:type="dxa"/>
            <w:vAlign w:val="center"/>
          </w:tcPr>
          <w:p w:rsidR="009A782C" w:rsidRDefault="00C844C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是否在试点地区</w:t>
            </w:r>
          </w:p>
          <w:p w:rsidR="009A782C" w:rsidRDefault="00C844C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范围内</w:t>
            </w:r>
          </w:p>
        </w:tc>
        <w:tc>
          <w:tcPr>
            <w:tcW w:w="2439" w:type="dxa"/>
            <w:vAlign w:val="center"/>
          </w:tcPr>
          <w:p w:rsidR="009A782C" w:rsidRDefault="00C844CB">
            <w:pPr>
              <w:keepNext/>
              <w:keepLines/>
              <w:snapToGrid w:val="0"/>
              <w:jc w:val="center"/>
              <w:outlineLvl w:val="0"/>
              <w:rPr>
                <w:rFonts w:ascii="仿宋_GB2312" w:eastAsia="仿宋_GB2312" w:hAnsi="仿宋_GB2312" w:cs="仿宋_GB2312"/>
                <w:b/>
                <w:sz w:val="24"/>
                <w:szCs w:val="24"/>
              </w:rPr>
            </w:pPr>
            <w:r>
              <w:rPr>
                <w:rFonts w:ascii="仿宋_GB2312" w:eastAsia="仿宋_GB2312" w:hAnsi="仿宋_GB2312" w:cs="仿宋_GB2312" w:hint="eastAsia"/>
                <w:sz w:val="24"/>
                <w:szCs w:val="24"/>
              </w:rPr>
              <w:t>□是</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□否</w:t>
            </w:r>
          </w:p>
        </w:tc>
      </w:tr>
      <w:tr w:rsidR="009A782C">
        <w:trPr>
          <w:trHeight w:hRule="exact" w:val="510"/>
          <w:jc w:val="center"/>
        </w:trPr>
        <w:tc>
          <w:tcPr>
            <w:tcW w:w="8958" w:type="dxa"/>
            <w:gridSpan w:val="5"/>
            <w:vAlign w:val="center"/>
          </w:tcPr>
          <w:p w:rsidR="009A782C" w:rsidRDefault="00C844CB">
            <w:pPr>
              <w:snapToGrid w:val="0"/>
              <w:rPr>
                <w:rFonts w:ascii="Times New Roman" w:eastAsia="黑体" w:hAnsi="Times New Roman" w:cs="Times New Roman"/>
                <w:bCs/>
                <w:sz w:val="24"/>
                <w:szCs w:val="24"/>
              </w:rPr>
            </w:pPr>
            <w:r>
              <w:rPr>
                <w:rFonts w:ascii="Times New Roman" w:eastAsia="黑体" w:hAnsi="Times New Roman" w:cs="Times New Roman"/>
                <w:bCs/>
                <w:sz w:val="24"/>
                <w:szCs w:val="24"/>
              </w:rPr>
              <w:t>四、股权出让方基本情况</w:t>
            </w:r>
          </w:p>
        </w:tc>
      </w:tr>
      <w:tr w:rsidR="009A782C">
        <w:trPr>
          <w:trHeight w:hRule="exact" w:val="510"/>
          <w:jc w:val="center"/>
        </w:trPr>
        <w:tc>
          <w:tcPr>
            <w:tcW w:w="2094" w:type="dxa"/>
            <w:gridSpan w:val="2"/>
            <w:vAlign w:val="center"/>
          </w:tcPr>
          <w:p w:rsidR="009A782C" w:rsidRDefault="00C844C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主体代码</w:t>
            </w:r>
          </w:p>
        </w:tc>
        <w:tc>
          <w:tcPr>
            <w:tcW w:w="2315" w:type="dxa"/>
            <w:vAlign w:val="center"/>
          </w:tcPr>
          <w:p w:rsidR="009A782C" w:rsidRDefault="009A782C">
            <w:pPr>
              <w:keepNext/>
              <w:keepLines/>
              <w:snapToGrid w:val="0"/>
              <w:jc w:val="center"/>
              <w:outlineLvl w:val="0"/>
              <w:rPr>
                <w:rFonts w:ascii="仿宋_GB2312" w:eastAsia="仿宋_GB2312" w:hAnsi="仿宋_GB2312" w:cs="仿宋_GB2312"/>
                <w:b/>
                <w:sz w:val="24"/>
                <w:szCs w:val="24"/>
              </w:rPr>
            </w:pPr>
          </w:p>
        </w:tc>
        <w:tc>
          <w:tcPr>
            <w:tcW w:w="2110" w:type="dxa"/>
            <w:vAlign w:val="center"/>
          </w:tcPr>
          <w:p w:rsidR="009A782C" w:rsidRDefault="00C844C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主体名称</w:t>
            </w:r>
          </w:p>
        </w:tc>
        <w:tc>
          <w:tcPr>
            <w:tcW w:w="2439" w:type="dxa"/>
            <w:vAlign w:val="center"/>
          </w:tcPr>
          <w:p w:rsidR="009A782C" w:rsidRDefault="009A782C">
            <w:pPr>
              <w:keepNext/>
              <w:keepLines/>
              <w:snapToGrid w:val="0"/>
              <w:jc w:val="center"/>
              <w:outlineLvl w:val="0"/>
              <w:rPr>
                <w:rFonts w:ascii="仿宋_GB2312" w:eastAsia="仿宋_GB2312" w:hAnsi="仿宋_GB2312" w:cs="仿宋_GB2312"/>
                <w:b/>
                <w:sz w:val="24"/>
                <w:szCs w:val="24"/>
              </w:rPr>
            </w:pPr>
          </w:p>
        </w:tc>
      </w:tr>
      <w:tr w:rsidR="009A782C">
        <w:trPr>
          <w:trHeight w:hRule="exact" w:val="510"/>
          <w:jc w:val="center"/>
        </w:trPr>
        <w:tc>
          <w:tcPr>
            <w:tcW w:w="2094" w:type="dxa"/>
            <w:gridSpan w:val="2"/>
            <w:vAlign w:val="center"/>
          </w:tcPr>
          <w:p w:rsidR="009A782C" w:rsidRDefault="00C844C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股权出让方性质</w:t>
            </w:r>
          </w:p>
        </w:tc>
        <w:tc>
          <w:tcPr>
            <w:tcW w:w="6864" w:type="dxa"/>
            <w:gridSpan w:val="3"/>
            <w:vAlign w:val="center"/>
          </w:tcPr>
          <w:p w:rsidR="009A782C" w:rsidRDefault="00C844CB">
            <w:pPr>
              <w:keepNext/>
              <w:keepLines/>
              <w:snapToGrid w:val="0"/>
              <w:jc w:val="center"/>
              <w:outlineLvl w:val="0"/>
              <w:rPr>
                <w:rFonts w:ascii="仿宋_GB2312" w:eastAsia="仿宋_GB2312" w:hAnsi="仿宋_GB2312" w:cs="仿宋_GB2312"/>
                <w:b/>
                <w:sz w:val="24"/>
                <w:szCs w:val="24"/>
              </w:rPr>
            </w:pPr>
            <w:r>
              <w:rPr>
                <w:rFonts w:ascii="仿宋_GB2312" w:eastAsia="仿宋_GB2312" w:hAnsi="仿宋_GB2312" w:cs="仿宋_GB2312" w:hint="eastAsia"/>
                <w:sz w:val="24"/>
                <w:szCs w:val="24"/>
              </w:rPr>
              <w:t>□境内机构</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□境内个人</w:t>
            </w:r>
          </w:p>
        </w:tc>
      </w:tr>
      <w:tr w:rsidR="009A782C">
        <w:trPr>
          <w:trHeight w:hRule="exact" w:val="510"/>
          <w:jc w:val="center"/>
        </w:trPr>
        <w:tc>
          <w:tcPr>
            <w:tcW w:w="2094" w:type="dxa"/>
            <w:gridSpan w:val="2"/>
            <w:vAlign w:val="center"/>
          </w:tcPr>
          <w:p w:rsidR="009A782C" w:rsidRDefault="00C844C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经营范围</w:t>
            </w:r>
          </w:p>
        </w:tc>
        <w:tc>
          <w:tcPr>
            <w:tcW w:w="2315" w:type="dxa"/>
            <w:vAlign w:val="center"/>
          </w:tcPr>
          <w:p w:rsidR="009A782C" w:rsidRDefault="009A782C">
            <w:pPr>
              <w:keepNext/>
              <w:keepLines/>
              <w:snapToGrid w:val="0"/>
              <w:jc w:val="center"/>
              <w:outlineLvl w:val="0"/>
              <w:rPr>
                <w:rFonts w:ascii="仿宋_GB2312" w:eastAsia="仿宋_GB2312" w:hAnsi="仿宋_GB2312" w:cs="仿宋_GB2312"/>
                <w:b/>
                <w:sz w:val="24"/>
                <w:szCs w:val="24"/>
              </w:rPr>
            </w:pPr>
          </w:p>
        </w:tc>
        <w:tc>
          <w:tcPr>
            <w:tcW w:w="2110" w:type="dxa"/>
            <w:vAlign w:val="center"/>
          </w:tcPr>
          <w:p w:rsidR="009A782C" w:rsidRDefault="00C844C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所属行业</w:t>
            </w:r>
          </w:p>
        </w:tc>
        <w:tc>
          <w:tcPr>
            <w:tcW w:w="2439" w:type="dxa"/>
            <w:vAlign w:val="center"/>
          </w:tcPr>
          <w:p w:rsidR="009A782C" w:rsidRDefault="009A782C">
            <w:pPr>
              <w:keepNext/>
              <w:keepLines/>
              <w:snapToGrid w:val="0"/>
              <w:jc w:val="center"/>
              <w:outlineLvl w:val="0"/>
              <w:rPr>
                <w:rFonts w:ascii="仿宋_GB2312" w:eastAsia="仿宋_GB2312" w:hAnsi="仿宋_GB2312" w:cs="仿宋_GB2312"/>
                <w:b/>
                <w:sz w:val="24"/>
                <w:szCs w:val="24"/>
              </w:rPr>
            </w:pPr>
          </w:p>
        </w:tc>
      </w:tr>
      <w:tr w:rsidR="009A782C">
        <w:trPr>
          <w:trHeight w:hRule="exact" w:val="700"/>
          <w:jc w:val="center"/>
        </w:trPr>
        <w:tc>
          <w:tcPr>
            <w:tcW w:w="2094" w:type="dxa"/>
            <w:gridSpan w:val="2"/>
            <w:vAlign w:val="center"/>
          </w:tcPr>
          <w:p w:rsidR="009A782C" w:rsidRDefault="00C844C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注册地址</w:t>
            </w:r>
          </w:p>
        </w:tc>
        <w:tc>
          <w:tcPr>
            <w:tcW w:w="2315" w:type="dxa"/>
            <w:vAlign w:val="center"/>
          </w:tcPr>
          <w:p w:rsidR="009A782C" w:rsidRDefault="009A782C">
            <w:pPr>
              <w:keepNext/>
              <w:keepLines/>
              <w:snapToGrid w:val="0"/>
              <w:jc w:val="center"/>
              <w:outlineLvl w:val="0"/>
              <w:rPr>
                <w:rFonts w:ascii="仿宋_GB2312" w:eastAsia="仿宋_GB2312" w:hAnsi="仿宋_GB2312" w:cs="仿宋_GB2312"/>
                <w:b/>
                <w:sz w:val="24"/>
                <w:szCs w:val="24"/>
              </w:rPr>
            </w:pPr>
          </w:p>
        </w:tc>
        <w:tc>
          <w:tcPr>
            <w:tcW w:w="2110" w:type="dxa"/>
            <w:vAlign w:val="center"/>
          </w:tcPr>
          <w:p w:rsidR="009A782C" w:rsidRDefault="00C844C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是否在试点地区</w:t>
            </w:r>
          </w:p>
          <w:p w:rsidR="009A782C" w:rsidRDefault="00C844C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范围内</w:t>
            </w:r>
          </w:p>
        </w:tc>
        <w:tc>
          <w:tcPr>
            <w:tcW w:w="2439" w:type="dxa"/>
            <w:vAlign w:val="center"/>
          </w:tcPr>
          <w:p w:rsidR="009A782C" w:rsidRDefault="00C844CB">
            <w:pPr>
              <w:keepNext/>
              <w:keepLines/>
              <w:snapToGrid w:val="0"/>
              <w:jc w:val="center"/>
              <w:outlineLvl w:val="0"/>
              <w:rPr>
                <w:rFonts w:ascii="仿宋_GB2312" w:eastAsia="仿宋_GB2312" w:hAnsi="仿宋_GB2312" w:cs="仿宋_GB2312"/>
                <w:b/>
                <w:sz w:val="24"/>
                <w:szCs w:val="24"/>
              </w:rPr>
            </w:pPr>
            <w:r>
              <w:rPr>
                <w:rFonts w:ascii="仿宋_GB2312" w:eastAsia="仿宋_GB2312" w:hAnsi="仿宋_GB2312" w:cs="仿宋_GB2312" w:hint="eastAsia"/>
                <w:sz w:val="24"/>
                <w:szCs w:val="24"/>
              </w:rPr>
              <w:t>□是</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□否</w:t>
            </w:r>
          </w:p>
        </w:tc>
      </w:tr>
      <w:tr w:rsidR="009A782C">
        <w:trPr>
          <w:trHeight w:hRule="exact" w:val="510"/>
          <w:jc w:val="center"/>
        </w:trPr>
        <w:tc>
          <w:tcPr>
            <w:tcW w:w="8958" w:type="dxa"/>
            <w:gridSpan w:val="5"/>
            <w:vAlign w:val="center"/>
          </w:tcPr>
          <w:p w:rsidR="009A782C" w:rsidRDefault="00C844CB">
            <w:pPr>
              <w:snapToGrid w:val="0"/>
              <w:rPr>
                <w:rFonts w:ascii="Times New Roman" w:eastAsia="黑体" w:hAnsi="Times New Roman" w:cs="Times New Roman"/>
                <w:bCs/>
                <w:sz w:val="24"/>
                <w:szCs w:val="24"/>
              </w:rPr>
            </w:pPr>
            <w:r>
              <w:rPr>
                <w:rFonts w:ascii="Times New Roman" w:eastAsia="黑体" w:hAnsi="Times New Roman" w:cs="Times New Roman"/>
                <w:bCs/>
                <w:sz w:val="24"/>
                <w:szCs w:val="24"/>
              </w:rPr>
              <w:t>五、再投资情况</w:t>
            </w:r>
          </w:p>
        </w:tc>
      </w:tr>
      <w:tr w:rsidR="009A782C">
        <w:trPr>
          <w:trHeight w:hRule="exact" w:val="730"/>
          <w:jc w:val="center"/>
        </w:trPr>
        <w:tc>
          <w:tcPr>
            <w:tcW w:w="2094" w:type="dxa"/>
            <w:gridSpan w:val="2"/>
            <w:vAlign w:val="center"/>
          </w:tcPr>
          <w:p w:rsidR="009A782C" w:rsidRDefault="00C844C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开展再投资方式</w:t>
            </w:r>
          </w:p>
        </w:tc>
        <w:tc>
          <w:tcPr>
            <w:tcW w:w="6864" w:type="dxa"/>
            <w:gridSpan w:val="3"/>
            <w:vAlign w:val="center"/>
          </w:tcPr>
          <w:p w:rsidR="009A782C" w:rsidRDefault="00C844CB">
            <w:pPr>
              <w:keepNext/>
              <w:keepLines/>
              <w:snapToGrid w:val="0"/>
              <w:jc w:val="center"/>
              <w:outlineLvl w:val="0"/>
              <w:rPr>
                <w:rFonts w:ascii="仿宋_GB2312" w:eastAsia="仿宋_GB2312" w:hAnsi="仿宋_GB2312" w:cs="仿宋_GB2312"/>
                <w:sz w:val="24"/>
                <w:szCs w:val="24"/>
              </w:rPr>
            </w:pPr>
            <w:r>
              <w:rPr>
                <w:rFonts w:ascii="仿宋_GB2312" w:eastAsia="仿宋_GB2312" w:hAnsi="仿宋_GB2312" w:cs="仿宋_GB2312" w:hint="eastAsia"/>
                <w:sz w:val="24"/>
                <w:szCs w:val="24"/>
              </w:rPr>
              <w:t>□通过新设或增资进行境内再投资</w:t>
            </w:r>
            <w:r>
              <w:rPr>
                <w:rFonts w:ascii="仿宋_GB2312" w:eastAsia="仿宋_GB2312" w:hAnsi="仿宋_GB2312" w:cs="仿宋_GB2312" w:hint="eastAsia"/>
                <w:sz w:val="24"/>
                <w:szCs w:val="24"/>
              </w:rPr>
              <w:t xml:space="preserve">     </w:t>
            </w:r>
          </w:p>
          <w:p w:rsidR="009A782C" w:rsidRDefault="00C844CB">
            <w:pPr>
              <w:keepNext/>
              <w:keepLines/>
              <w:snapToGrid w:val="0"/>
              <w:jc w:val="center"/>
              <w:outlineLvl w:val="0"/>
              <w:rPr>
                <w:rFonts w:ascii="仿宋_GB2312" w:eastAsia="仿宋_GB2312" w:hAnsi="仿宋_GB2312" w:cs="仿宋_GB2312"/>
                <w:b/>
                <w:sz w:val="24"/>
                <w:szCs w:val="24"/>
              </w:rPr>
            </w:pPr>
            <w:r>
              <w:rPr>
                <w:rFonts w:ascii="仿宋_GB2312" w:eastAsia="仿宋_GB2312" w:hAnsi="仿宋_GB2312" w:cs="仿宋_GB2312" w:hint="eastAsia"/>
                <w:sz w:val="24"/>
                <w:szCs w:val="24"/>
              </w:rPr>
              <w:t>□通过购买原股东股权进行境内再投资</w:t>
            </w:r>
          </w:p>
        </w:tc>
      </w:tr>
      <w:tr w:rsidR="009A782C">
        <w:trPr>
          <w:trHeight w:hRule="exact" w:val="510"/>
          <w:jc w:val="center"/>
        </w:trPr>
        <w:tc>
          <w:tcPr>
            <w:tcW w:w="2094" w:type="dxa"/>
            <w:gridSpan w:val="2"/>
            <w:vAlign w:val="center"/>
          </w:tcPr>
          <w:p w:rsidR="009A782C" w:rsidRDefault="00C844C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再投资金额</w:t>
            </w:r>
          </w:p>
        </w:tc>
        <w:tc>
          <w:tcPr>
            <w:tcW w:w="2315" w:type="dxa"/>
            <w:vAlign w:val="center"/>
          </w:tcPr>
          <w:p w:rsidR="009A782C" w:rsidRDefault="009A782C">
            <w:pPr>
              <w:keepNext/>
              <w:keepLines/>
              <w:snapToGrid w:val="0"/>
              <w:jc w:val="center"/>
              <w:outlineLvl w:val="0"/>
              <w:rPr>
                <w:rFonts w:ascii="仿宋_GB2312" w:eastAsia="仿宋_GB2312" w:hAnsi="仿宋_GB2312" w:cs="仿宋_GB2312"/>
                <w:b/>
                <w:sz w:val="24"/>
                <w:szCs w:val="24"/>
              </w:rPr>
            </w:pPr>
          </w:p>
        </w:tc>
        <w:tc>
          <w:tcPr>
            <w:tcW w:w="2110" w:type="dxa"/>
            <w:vAlign w:val="center"/>
          </w:tcPr>
          <w:p w:rsidR="009A782C" w:rsidRDefault="00C844C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币种</w:t>
            </w:r>
          </w:p>
        </w:tc>
        <w:tc>
          <w:tcPr>
            <w:tcW w:w="2439" w:type="dxa"/>
            <w:vAlign w:val="center"/>
          </w:tcPr>
          <w:p w:rsidR="009A782C" w:rsidRDefault="009A782C">
            <w:pPr>
              <w:keepNext/>
              <w:keepLines/>
              <w:snapToGrid w:val="0"/>
              <w:jc w:val="center"/>
              <w:outlineLvl w:val="0"/>
              <w:rPr>
                <w:rFonts w:ascii="仿宋_GB2312" w:eastAsia="仿宋_GB2312" w:hAnsi="仿宋_GB2312" w:cs="仿宋_GB2312"/>
                <w:b/>
                <w:sz w:val="24"/>
                <w:szCs w:val="24"/>
              </w:rPr>
            </w:pPr>
          </w:p>
        </w:tc>
      </w:tr>
      <w:tr w:rsidR="009A782C">
        <w:trPr>
          <w:trHeight w:hRule="exact" w:val="510"/>
          <w:jc w:val="center"/>
        </w:trPr>
        <w:tc>
          <w:tcPr>
            <w:tcW w:w="2094" w:type="dxa"/>
            <w:gridSpan w:val="2"/>
            <w:vAlign w:val="center"/>
          </w:tcPr>
          <w:p w:rsidR="009A782C" w:rsidRDefault="00C844C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已划转金额</w:t>
            </w:r>
          </w:p>
        </w:tc>
        <w:tc>
          <w:tcPr>
            <w:tcW w:w="2315" w:type="dxa"/>
            <w:vAlign w:val="center"/>
          </w:tcPr>
          <w:p w:rsidR="009A782C" w:rsidRDefault="009A782C">
            <w:pPr>
              <w:keepNext/>
              <w:keepLines/>
              <w:snapToGrid w:val="0"/>
              <w:jc w:val="center"/>
              <w:outlineLvl w:val="0"/>
              <w:rPr>
                <w:rFonts w:ascii="仿宋_GB2312" w:eastAsia="仿宋_GB2312" w:hAnsi="仿宋_GB2312" w:cs="仿宋_GB2312"/>
                <w:b/>
                <w:sz w:val="24"/>
                <w:szCs w:val="24"/>
              </w:rPr>
            </w:pPr>
          </w:p>
        </w:tc>
        <w:tc>
          <w:tcPr>
            <w:tcW w:w="2110" w:type="dxa"/>
            <w:vAlign w:val="center"/>
          </w:tcPr>
          <w:p w:rsidR="009A782C" w:rsidRDefault="00C844C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本次划转金额</w:t>
            </w:r>
          </w:p>
        </w:tc>
        <w:tc>
          <w:tcPr>
            <w:tcW w:w="2439" w:type="dxa"/>
            <w:vAlign w:val="center"/>
          </w:tcPr>
          <w:p w:rsidR="009A782C" w:rsidRDefault="009A782C">
            <w:pPr>
              <w:keepNext/>
              <w:keepLines/>
              <w:snapToGrid w:val="0"/>
              <w:jc w:val="center"/>
              <w:outlineLvl w:val="0"/>
              <w:rPr>
                <w:rFonts w:ascii="仿宋_GB2312" w:eastAsia="仿宋_GB2312" w:hAnsi="仿宋_GB2312" w:cs="仿宋_GB2312"/>
                <w:b/>
                <w:sz w:val="24"/>
                <w:szCs w:val="24"/>
              </w:rPr>
            </w:pPr>
          </w:p>
        </w:tc>
      </w:tr>
      <w:tr w:rsidR="009A782C">
        <w:trPr>
          <w:trHeight w:hRule="exact" w:val="510"/>
          <w:jc w:val="center"/>
        </w:trPr>
        <w:tc>
          <w:tcPr>
            <w:tcW w:w="2094" w:type="dxa"/>
            <w:gridSpan w:val="2"/>
            <w:vAlign w:val="center"/>
          </w:tcPr>
          <w:p w:rsidR="009A782C" w:rsidRDefault="00C844CB">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尚可划转金额</w:t>
            </w:r>
          </w:p>
        </w:tc>
        <w:tc>
          <w:tcPr>
            <w:tcW w:w="6864" w:type="dxa"/>
            <w:gridSpan w:val="3"/>
            <w:vAlign w:val="center"/>
          </w:tcPr>
          <w:p w:rsidR="009A782C" w:rsidRDefault="009A782C">
            <w:pPr>
              <w:keepNext/>
              <w:keepLines/>
              <w:snapToGrid w:val="0"/>
              <w:jc w:val="center"/>
              <w:outlineLvl w:val="0"/>
              <w:rPr>
                <w:rFonts w:ascii="仿宋_GB2312" w:eastAsia="仿宋_GB2312" w:hAnsi="仿宋_GB2312" w:cs="仿宋_GB2312"/>
                <w:b/>
                <w:sz w:val="24"/>
                <w:szCs w:val="24"/>
              </w:rPr>
            </w:pPr>
          </w:p>
        </w:tc>
      </w:tr>
      <w:tr w:rsidR="009A782C">
        <w:trPr>
          <w:trHeight w:val="1821"/>
          <w:jc w:val="center"/>
        </w:trPr>
        <w:tc>
          <w:tcPr>
            <w:tcW w:w="8958" w:type="dxa"/>
            <w:gridSpan w:val="5"/>
          </w:tcPr>
          <w:p w:rsidR="009A782C" w:rsidRDefault="00C844CB">
            <w:pPr>
              <w:snapToGrid w:val="0"/>
              <w:rPr>
                <w:rFonts w:ascii="Times New Roman" w:eastAsia="黑体" w:hAnsi="Times New Roman" w:cs="Times New Roman"/>
                <w:bCs/>
                <w:sz w:val="24"/>
                <w:szCs w:val="24"/>
              </w:rPr>
            </w:pPr>
            <w:r>
              <w:rPr>
                <w:rFonts w:ascii="Times New Roman" w:eastAsia="黑体" w:hAnsi="Times New Roman" w:cs="Times New Roman"/>
                <w:bCs/>
                <w:sz w:val="24"/>
                <w:szCs w:val="24"/>
              </w:rPr>
              <w:t>六、备注（如以上表格内容不能完整反映登记信息，可在此栏中填写）</w:t>
            </w:r>
          </w:p>
        </w:tc>
      </w:tr>
      <w:tr w:rsidR="009A782C">
        <w:trPr>
          <w:trHeight w:val="3031"/>
          <w:jc w:val="center"/>
        </w:trPr>
        <w:tc>
          <w:tcPr>
            <w:tcW w:w="8958" w:type="dxa"/>
            <w:gridSpan w:val="5"/>
          </w:tcPr>
          <w:p w:rsidR="009A782C" w:rsidRDefault="00C844CB">
            <w:pPr>
              <w:snapToGrid w:val="0"/>
              <w:rPr>
                <w:rFonts w:ascii="Times New Roman" w:eastAsia="黑体" w:hAnsi="Times New Roman" w:cs="Times New Roman"/>
                <w:bCs/>
                <w:sz w:val="24"/>
                <w:szCs w:val="24"/>
              </w:rPr>
            </w:pPr>
            <w:r>
              <w:rPr>
                <w:rFonts w:ascii="Times New Roman" w:eastAsia="黑体" w:hAnsi="Times New Roman" w:cs="Times New Roman"/>
                <w:bCs/>
                <w:sz w:val="24"/>
                <w:szCs w:val="24"/>
              </w:rPr>
              <w:lastRenderedPageBreak/>
              <w:t>七、承诺：请勾选</w:t>
            </w:r>
          </w:p>
          <w:p w:rsidR="009A782C" w:rsidRDefault="00C844CB" w:rsidP="00CB150D">
            <w:pPr>
              <w:snapToGrid w:val="0"/>
              <w:ind w:firstLineChars="100" w:firstLine="240"/>
              <w:rPr>
                <w:rFonts w:ascii="仿宋_GB2312" w:eastAsia="仿宋_GB2312" w:hAnsi="仿宋_GB2312" w:cs="仿宋_GB2312"/>
                <w:b/>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b/>
                <w:sz w:val="24"/>
                <w:szCs w:val="24"/>
              </w:rPr>
              <w:t>本人</w:t>
            </w:r>
            <w:r>
              <w:rPr>
                <w:rFonts w:ascii="仿宋_GB2312" w:eastAsia="仿宋_GB2312" w:hAnsi="仿宋_GB2312" w:cs="仿宋_GB2312" w:hint="eastAsia"/>
                <w:b/>
                <w:sz w:val="24"/>
                <w:szCs w:val="24"/>
              </w:rPr>
              <w:t>/</w:t>
            </w:r>
            <w:r>
              <w:rPr>
                <w:rFonts w:ascii="仿宋_GB2312" w:eastAsia="仿宋_GB2312" w:hAnsi="仿宋_GB2312" w:cs="仿宋_GB2312" w:hint="eastAsia"/>
                <w:b/>
                <w:sz w:val="24"/>
                <w:szCs w:val="24"/>
              </w:rPr>
              <w:t>本机构所填写的</w:t>
            </w:r>
            <w:r>
              <w:rPr>
                <w:rFonts w:ascii="仿宋_GB2312" w:eastAsia="仿宋_GB2312" w:hAnsi="仿宋_GB2312" w:cs="仿宋_GB2312" w:hint="eastAsia"/>
                <w:b/>
                <w:snapToGrid w:val="0"/>
                <w:kern w:val="0"/>
                <w:sz w:val="24"/>
                <w:szCs w:val="24"/>
              </w:rPr>
              <w:t>《试点地区境内再投资业务申请表》</w:t>
            </w:r>
            <w:r>
              <w:rPr>
                <w:rFonts w:ascii="仿宋_GB2312" w:eastAsia="仿宋_GB2312" w:hAnsi="仿宋_GB2312" w:cs="仿宋_GB2312" w:hint="eastAsia"/>
                <w:b/>
                <w:sz w:val="24"/>
                <w:szCs w:val="24"/>
              </w:rPr>
              <w:t>中各项内容及所提交的所有书面材料均真实有效，本人</w:t>
            </w:r>
            <w:r>
              <w:rPr>
                <w:rFonts w:ascii="仿宋_GB2312" w:eastAsia="仿宋_GB2312" w:hAnsi="仿宋_GB2312" w:cs="仿宋_GB2312" w:hint="eastAsia"/>
                <w:b/>
                <w:sz w:val="24"/>
                <w:szCs w:val="24"/>
              </w:rPr>
              <w:t>/</w:t>
            </w:r>
            <w:r>
              <w:rPr>
                <w:rFonts w:ascii="仿宋_GB2312" w:eastAsia="仿宋_GB2312" w:hAnsi="仿宋_GB2312" w:cs="仿宋_GB2312" w:hint="eastAsia"/>
                <w:b/>
                <w:sz w:val="24"/>
                <w:szCs w:val="24"/>
              </w:rPr>
              <w:t>本机构保证所提交的各项表格、文件真实、准确、完整，否则本人</w:t>
            </w:r>
            <w:r>
              <w:rPr>
                <w:rFonts w:ascii="仿宋_GB2312" w:eastAsia="仿宋_GB2312" w:hAnsi="仿宋_GB2312" w:cs="仿宋_GB2312" w:hint="eastAsia"/>
                <w:b/>
                <w:sz w:val="24"/>
                <w:szCs w:val="24"/>
              </w:rPr>
              <w:t>/</w:t>
            </w:r>
            <w:r>
              <w:rPr>
                <w:rFonts w:ascii="仿宋_GB2312" w:eastAsia="仿宋_GB2312" w:hAnsi="仿宋_GB2312" w:cs="仿宋_GB2312" w:hint="eastAsia"/>
                <w:b/>
                <w:sz w:val="24"/>
                <w:szCs w:val="24"/>
              </w:rPr>
              <w:t>本机构将承担由此而导致的一切后果。</w:t>
            </w:r>
          </w:p>
          <w:p w:rsidR="009A782C" w:rsidRDefault="00C844CB" w:rsidP="00CB150D">
            <w:pPr>
              <w:snapToGrid w:val="0"/>
              <w:ind w:firstLineChars="100" w:firstLine="240"/>
              <w:rPr>
                <w:rFonts w:ascii="仿宋_GB2312" w:eastAsia="仿宋_GB2312" w:hAnsi="仿宋_GB2312" w:cs="仿宋_GB2312"/>
                <w:b/>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b/>
                <w:sz w:val="24"/>
                <w:szCs w:val="24"/>
              </w:rPr>
              <w:t>承诺再投资事项符合现行外资准入管理规定、所投项目真实合规，如有不实，自行承担相关法律责任。</w:t>
            </w:r>
          </w:p>
          <w:p w:rsidR="009A782C" w:rsidRDefault="009A782C" w:rsidP="00CB150D">
            <w:pPr>
              <w:snapToGrid w:val="0"/>
              <w:ind w:firstLineChars="200" w:firstLine="482"/>
              <w:rPr>
                <w:rFonts w:ascii="仿宋_GB2312" w:eastAsia="仿宋_GB2312" w:hAnsi="仿宋_GB2312" w:cs="仿宋_GB2312"/>
                <w:b/>
                <w:bCs/>
                <w:sz w:val="24"/>
                <w:szCs w:val="24"/>
              </w:rPr>
            </w:pPr>
          </w:p>
          <w:p w:rsidR="009A782C" w:rsidRDefault="009A782C" w:rsidP="00CB150D">
            <w:pPr>
              <w:snapToGrid w:val="0"/>
              <w:ind w:firstLineChars="200" w:firstLine="482"/>
              <w:rPr>
                <w:rFonts w:ascii="仿宋_GB2312" w:eastAsia="仿宋_GB2312" w:hAnsi="仿宋_GB2312" w:cs="仿宋_GB2312"/>
                <w:b/>
                <w:bCs/>
                <w:sz w:val="24"/>
                <w:szCs w:val="24"/>
              </w:rPr>
            </w:pPr>
          </w:p>
          <w:p w:rsidR="009A782C" w:rsidRDefault="009A782C" w:rsidP="00CB150D">
            <w:pPr>
              <w:snapToGrid w:val="0"/>
              <w:ind w:firstLineChars="200" w:firstLine="482"/>
              <w:rPr>
                <w:rFonts w:ascii="仿宋_GB2312" w:eastAsia="仿宋_GB2312" w:hAnsi="仿宋_GB2312" w:cs="仿宋_GB2312"/>
                <w:b/>
                <w:bCs/>
                <w:sz w:val="24"/>
                <w:szCs w:val="24"/>
              </w:rPr>
            </w:pPr>
          </w:p>
          <w:p w:rsidR="009A782C" w:rsidRDefault="00C844CB" w:rsidP="00CB150D">
            <w:pPr>
              <w:snapToGrid w:val="0"/>
              <w:ind w:firstLineChars="200" w:firstLine="482"/>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本人</w:t>
            </w:r>
            <w:r>
              <w:rPr>
                <w:rFonts w:ascii="仿宋_GB2312" w:eastAsia="仿宋_GB2312" w:hAnsi="仿宋_GB2312" w:cs="仿宋_GB2312" w:hint="eastAsia"/>
                <w:b/>
                <w:bCs/>
                <w:sz w:val="24"/>
                <w:szCs w:val="24"/>
              </w:rPr>
              <w:t>/</w:t>
            </w:r>
            <w:r>
              <w:rPr>
                <w:rFonts w:ascii="仿宋_GB2312" w:eastAsia="仿宋_GB2312" w:hAnsi="仿宋_GB2312" w:cs="仿宋_GB2312" w:hint="eastAsia"/>
                <w:b/>
                <w:bCs/>
                <w:sz w:val="24"/>
                <w:szCs w:val="24"/>
              </w:rPr>
              <w:t>法定代表人签字或盖章（或授权委托人签字或盖章）</w:t>
            </w:r>
            <w:r>
              <w:rPr>
                <w:rFonts w:ascii="仿宋_GB2312" w:eastAsia="仿宋_GB2312" w:hAnsi="仿宋_GB2312" w:cs="仿宋_GB2312" w:hint="eastAsia"/>
                <w:b/>
                <w:bCs/>
                <w:sz w:val="24"/>
                <w:szCs w:val="24"/>
              </w:rPr>
              <w:t xml:space="preserve">:   </w:t>
            </w:r>
            <w:r>
              <w:rPr>
                <w:rFonts w:ascii="仿宋_GB2312" w:eastAsia="仿宋_GB2312" w:hAnsi="仿宋_GB2312" w:cs="仿宋_GB2312" w:hint="eastAsia"/>
                <w:b/>
                <w:bCs/>
                <w:sz w:val="24"/>
                <w:szCs w:val="24"/>
              </w:rPr>
              <w:t>单位公章：</w:t>
            </w:r>
          </w:p>
          <w:p w:rsidR="009A782C" w:rsidRDefault="00C844CB">
            <w:pPr>
              <w:snapToGrid w:val="0"/>
              <w:rPr>
                <w:rFonts w:ascii="Times New Roman" w:hAnsi="Times New Roman" w:cs="Times New Roman"/>
                <w:b/>
                <w:sz w:val="24"/>
                <w:szCs w:val="24"/>
              </w:rPr>
            </w:pPr>
            <w:r>
              <w:rPr>
                <w:rFonts w:ascii="仿宋_GB2312" w:eastAsia="仿宋_GB2312" w:hAnsi="仿宋_GB2312" w:cs="仿宋_GB2312" w:hint="eastAsia"/>
                <w:b/>
                <w:bCs/>
                <w:sz w:val="24"/>
                <w:szCs w:val="24"/>
              </w:rPr>
              <w:t>申请日期：</w:t>
            </w:r>
            <w:r>
              <w:rPr>
                <w:rFonts w:ascii="仿宋_GB2312" w:eastAsia="仿宋_GB2312" w:hAnsi="仿宋_GB2312" w:cs="仿宋_GB2312" w:hint="eastAsia"/>
                <w:b/>
                <w:bCs/>
                <w:sz w:val="24"/>
                <w:szCs w:val="24"/>
              </w:rPr>
              <w:t xml:space="preserve">     </w:t>
            </w:r>
            <w:r>
              <w:rPr>
                <w:rFonts w:ascii="仿宋_GB2312" w:eastAsia="仿宋_GB2312" w:hAnsi="仿宋_GB2312" w:cs="仿宋_GB2312" w:hint="eastAsia"/>
                <w:b/>
                <w:bCs/>
                <w:sz w:val="24"/>
                <w:szCs w:val="24"/>
              </w:rPr>
              <w:t>年</w:t>
            </w:r>
            <w:r>
              <w:rPr>
                <w:rFonts w:ascii="仿宋_GB2312" w:eastAsia="仿宋_GB2312" w:hAnsi="仿宋_GB2312" w:cs="仿宋_GB2312" w:hint="eastAsia"/>
                <w:b/>
                <w:bCs/>
                <w:sz w:val="24"/>
                <w:szCs w:val="24"/>
              </w:rPr>
              <w:t xml:space="preserve">   </w:t>
            </w:r>
            <w:r>
              <w:rPr>
                <w:rFonts w:ascii="仿宋_GB2312" w:eastAsia="仿宋_GB2312" w:hAnsi="仿宋_GB2312" w:cs="仿宋_GB2312" w:hint="eastAsia"/>
                <w:b/>
                <w:bCs/>
                <w:sz w:val="24"/>
                <w:szCs w:val="24"/>
              </w:rPr>
              <w:t>月</w:t>
            </w:r>
            <w:r>
              <w:rPr>
                <w:rFonts w:ascii="仿宋_GB2312" w:eastAsia="仿宋_GB2312" w:hAnsi="仿宋_GB2312" w:cs="仿宋_GB2312" w:hint="eastAsia"/>
                <w:b/>
                <w:bCs/>
                <w:sz w:val="24"/>
                <w:szCs w:val="24"/>
              </w:rPr>
              <w:t xml:space="preserve">   </w:t>
            </w:r>
            <w:r>
              <w:rPr>
                <w:rFonts w:ascii="仿宋_GB2312" w:eastAsia="仿宋_GB2312" w:hAnsi="仿宋_GB2312" w:cs="仿宋_GB2312" w:hint="eastAsia"/>
                <w:b/>
                <w:bCs/>
                <w:sz w:val="24"/>
                <w:szCs w:val="24"/>
              </w:rPr>
              <w:t>日</w:t>
            </w:r>
          </w:p>
        </w:tc>
      </w:tr>
    </w:tbl>
    <w:p w:rsidR="009A782C" w:rsidRDefault="009A782C" w:rsidP="00CB150D">
      <w:pPr>
        <w:adjustRightInd w:val="0"/>
        <w:snapToGrid w:val="0"/>
        <w:spacing w:line="324" w:lineRule="auto"/>
        <w:ind w:firstLineChars="200" w:firstLine="562"/>
        <w:rPr>
          <w:rFonts w:ascii="仿宋_GB2312" w:eastAsia="仿宋_GB2312" w:hAnsi="仿宋_GB2312" w:cs="仿宋_GB2312"/>
          <w:b/>
          <w:bCs/>
          <w:kern w:val="0"/>
          <w:sz w:val="28"/>
          <w:szCs w:val="28"/>
        </w:rPr>
      </w:pPr>
    </w:p>
    <w:p w:rsidR="009A782C" w:rsidRDefault="00C844CB" w:rsidP="00CB150D">
      <w:pPr>
        <w:adjustRightInd w:val="0"/>
        <w:snapToGrid w:val="0"/>
        <w:spacing w:line="324" w:lineRule="auto"/>
        <w:ind w:firstLineChars="200" w:firstLine="562"/>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填表说明：</w:t>
      </w:r>
    </w:p>
    <w:p w:rsidR="009A782C" w:rsidRDefault="00C844CB" w:rsidP="00CB150D">
      <w:pPr>
        <w:adjustRightInd w:val="0"/>
        <w:snapToGrid w:val="0"/>
        <w:spacing w:line="324" w:lineRule="auto"/>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“申请事项”根据所涉再投资业务情况选择对应的“账户开立”、“再投资资金划出”及“再投资资金入账”。</w:t>
      </w:r>
    </w:p>
    <w:p w:rsidR="009A782C" w:rsidRDefault="00C844CB" w:rsidP="00CB150D">
      <w:pPr>
        <w:adjustRightInd w:val="0"/>
        <w:snapToGrid w:val="0"/>
        <w:spacing w:line="324" w:lineRule="auto"/>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w:t>
      </w:r>
      <w:r>
        <w:rPr>
          <w:rFonts w:ascii="仿宋_GB2312" w:eastAsia="仿宋_GB2312" w:hAnsi="仿宋_GB2312" w:cs="仿宋_GB2312" w:hint="eastAsia"/>
          <w:bCs/>
          <w:kern w:val="0"/>
          <w:sz w:val="28"/>
          <w:szCs w:val="28"/>
        </w:rPr>
        <w:t>开展再投资企业基本情况</w:t>
      </w:r>
      <w:r>
        <w:rPr>
          <w:rFonts w:ascii="仿宋_GB2312" w:eastAsia="仿宋_GB2312" w:hAnsi="仿宋_GB2312" w:cs="仿宋_GB2312" w:hint="eastAsia"/>
          <w:kern w:val="0"/>
          <w:sz w:val="28"/>
          <w:szCs w:val="28"/>
        </w:rPr>
        <w:t>”填写开展再投资的外商投资企业信息。</w:t>
      </w:r>
    </w:p>
    <w:p w:rsidR="009A782C" w:rsidRDefault="00C844CB" w:rsidP="00CB150D">
      <w:pPr>
        <w:adjustRightInd w:val="0"/>
        <w:snapToGrid w:val="0"/>
        <w:spacing w:line="324" w:lineRule="auto"/>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w:t>
      </w:r>
      <w:r>
        <w:rPr>
          <w:rFonts w:ascii="仿宋_GB2312" w:eastAsia="仿宋_GB2312" w:hAnsi="仿宋_GB2312" w:cs="仿宋_GB2312" w:hint="eastAsia"/>
          <w:bCs/>
          <w:sz w:val="28"/>
          <w:szCs w:val="28"/>
        </w:rPr>
        <w:t>“</w:t>
      </w:r>
      <w:r>
        <w:rPr>
          <w:rFonts w:ascii="仿宋_GB2312" w:eastAsia="仿宋_GB2312" w:hAnsi="仿宋_GB2312" w:cs="仿宋_GB2312" w:hint="eastAsia"/>
          <w:bCs/>
          <w:kern w:val="0"/>
          <w:sz w:val="28"/>
          <w:szCs w:val="28"/>
        </w:rPr>
        <w:t>被投资企业基本情况”和</w:t>
      </w:r>
      <w:r>
        <w:rPr>
          <w:rFonts w:ascii="仿宋_GB2312" w:eastAsia="仿宋_GB2312" w:hAnsi="仿宋_GB2312" w:cs="仿宋_GB2312" w:hint="eastAsia"/>
          <w:kern w:val="0"/>
          <w:sz w:val="28"/>
          <w:szCs w:val="28"/>
        </w:rPr>
        <w:t>“股权出让方基本情况”根据境内再投资的具体情况选择填写。其中，“股权出让方基本情况”填写接收再投资资金主体（股权出让机构或个人）信息，主体代码包括机构代码或个人的身份证号码。主体为个人的，“经营范围”和“所属行业”填写“无”。</w:t>
      </w:r>
    </w:p>
    <w:p w:rsidR="009A782C" w:rsidRDefault="00C844CB" w:rsidP="00CB150D">
      <w:pPr>
        <w:adjustRightInd w:val="0"/>
        <w:snapToGrid w:val="0"/>
        <w:spacing w:line="324" w:lineRule="auto"/>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4.</w:t>
      </w:r>
      <w:r>
        <w:rPr>
          <w:rFonts w:ascii="仿宋_GB2312" w:eastAsia="仿宋_GB2312" w:hAnsi="仿宋_GB2312" w:cs="仿宋_GB2312" w:hint="eastAsia"/>
          <w:kern w:val="0"/>
          <w:sz w:val="28"/>
          <w:szCs w:val="28"/>
        </w:rPr>
        <w:t>“开展再投资方式”由外商投资企业或被投资企业</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股权出让方（“资金接收方”）根据实际</w:t>
      </w:r>
      <w:r>
        <w:rPr>
          <w:rFonts w:ascii="仿宋_GB2312" w:eastAsia="仿宋_GB2312" w:hAnsi="仿宋_GB2312" w:cs="仿宋_GB2312" w:hint="eastAsia"/>
          <w:kern w:val="0"/>
          <w:sz w:val="28"/>
          <w:szCs w:val="28"/>
        </w:rPr>
        <w:t>情况分别填写。</w:t>
      </w:r>
      <w:r>
        <w:rPr>
          <w:rFonts w:ascii="仿宋_GB2312" w:eastAsia="仿宋_GB2312" w:hAnsi="仿宋_GB2312" w:cs="仿宋_GB2312" w:hint="eastAsia"/>
          <w:bCs/>
          <w:kern w:val="0"/>
          <w:sz w:val="28"/>
          <w:szCs w:val="28"/>
        </w:rPr>
        <w:t>“再投资情况”均需折投资币种填写。其中，“再投资金额”指再投资总体投资金额（由外商投资企业填写）或总体接收金额（由资金接收方填写）。“已划转金额”指本次申请前已向资金接收方划转（由外商投资企业填写）或资金接收方已接收（由资金接收方填写）的金额。“本次划转金额”指本次申请向资金接收方划转（由外商投资企业填写）或资金接收方本次申请接收（由资金接收方</w:t>
      </w:r>
      <w:r>
        <w:rPr>
          <w:rFonts w:ascii="仿宋_GB2312" w:eastAsia="仿宋_GB2312" w:hAnsi="仿宋_GB2312" w:cs="仿宋_GB2312" w:hint="eastAsia"/>
          <w:kern w:val="0"/>
          <w:sz w:val="28"/>
          <w:szCs w:val="28"/>
        </w:rPr>
        <w:t>填写</w:t>
      </w:r>
      <w:r>
        <w:rPr>
          <w:rFonts w:ascii="仿宋_GB2312" w:eastAsia="仿宋_GB2312" w:hAnsi="仿宋_GB2312" w:cs="仿宋_GB2312" w:hint="eastAsia"/>
          <w:bCs/>
          <w:kern w:val="0"/>
          <w:sz w:val="28"/>
          <w:szCs w:val="28"/>
        </w:rPr>
        <w:t>）的金额。“尚可划转金额”为“再投资金额”减去“已划转金额”减去“本次划转金额”，“尚可划转金额”原则上应大于等于</w:t>
      </w:r>
      <w:r>
        <w:rPr>
          <w:rFonts w:ascii="仿宋_GB2312" w:eastAsia="仿宋_GB2312" w:hAnsi="仿宋_GB2312" w:cs="仿宋_GB2312" w:hint="eastAsia"/>
          <w:bCs/>
          <w:kern w:val="0"/>
          <w:sz w:val="28"/>
          <w:szCs w:val="28"/>
        </w:rPr>
        <w:t>0</w:t>
      </w:r>
      <w:r>
        <w:rPr>
          <w:rFonts w:ascii="仿宋_GB2312" w:eastAsia="仿宋_GB2312" w:hAnsi="仿宋_GB2312" w:cs="仿宋_GB2312" w:hint="eastAsia"/>
          <w:bCs/>
          <w:kern w:val="0"/>
          <w:sz w:val="28"/>
          <w:szCs w:val="28"/>
        </w:rPr>
        <w:t>。</w:t>
      </w:r>
    </w:p>
    <w:p w:rsidR="009A782C" w:rsidRDefault="009A782C">
      <w:pPr>
        <w:rPr>
          <w:sz w:val="28"/>
          <w:szCs w:val="28"/>
        </w:rPr>
      </w:pPr>
    </w:p>
    <w:p w:rsidR="009A782C" w:rsidRDefault="009A782C">
      <w:pPr>
        <w:rPr>
          <w:rFonts w:ascii="黑体" w:eastAsia="黑体" w:hAnsi="黑体"/>
          <w:sz w:val="32"/>
          <w:szCs w:val="32"/>
        </w:rPr>
      </w:pPr>
    </w:p>
    <w:p w:rsidR="009A782C" w:rsidRDefault="00C844CB">
      <w:pPr>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附件</w:t>
      </w:r>
      <w:r>
        <w:rPr>
          <w:rFonts w:ascii="黑体" w:eastAsia="黑体" w:hAnsi="黑体" w:hint="eastAsia"/>
          <w:sz w:val="32"/>
          <w:szCs w:val="32"/>
        </w:rPr>
        <w:t>4</w:t>
      </w:r>
    </w:p>
    <w:p w:rsidR="009A782C" w:rsidRDefault="009A782C">
      <w:pPr>
        <w:rPr>
          <w:rFonts w:ascii="黑体" w:eastAsia="黑体" w:hAnsi="黑体"/>
          <w:sz w:val="32"/>
          <w:szCs w:val="32"/>
        </w:rPr>
      </w:pPr>
    </w:p>
    <w:p w:rsidR="009A782C" w:rsidRDefault="00C844CB">
      <w:pPr>
        <w:adjustRightInd w:val="0"/>
        <w:snapToGrid w:val="0"/>
        <w:contextualSpacing/>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融资租赁母子公司外债额度共享业务实施细则</w:t>
      </w:r>
    </w:p>
    <w:p w:rsidR="009A782C" w:rsidRDefault="009A782C">
      <w:pPr>
        <w:ind w:firstLineChars="200" w:firstLine="640"/>
        <w:rPr>
          <w:rFonts w:eastAsia="仿宋_GB2312"/>
          <w:bCs/>
          <w:sz w:val="32"/>
          <w:szCs w:val="32"/>
        </w:rPr>
      </w:pPr>
    </w:p>
    <w:p w:rsidR="009A782C" w:rsidRDefault="00C844CB">
      <w:pPr>
        <w:adjustRightInd w:val="0"/>
        <w:snapToGrid w:val="0"/>
        <w:spacing w:line="324"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第一条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为促进融资租赁公司母、子公司外债额度共享业务试点的顺利开展，根据《中华人民共和国外汇管理条例》等相关规定，按照服务实体经济、有效防范风险的原则，制订本实施细则。</w:t>
      </w:r>
    </w:p>
    <w:p w:rsidR="009A782C" w:rsidRDefault="00C844CB">
      <w:pPr>
        <w:adjustRightInd w:val="0"/>
        <w:snapToGrid w:val="0"/>
        <w:spacing w:line="324"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第二条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本实施细则所指融资租赁母、子公司是指融资租赁公司与其因开展融资租赁业务下设的特殊目的公司（</w:t>
      </w:r>
      <w:r>
        <w:rPr>
          <w:rFonts w:ascii="仿宋_GB2312" w:eastAsia="仿宋_GB2312" w:hAnsi="仿宋_GB2312" w:cs="仿宋_GB2312" w:hint="eastAsia"/>
          <w:bCs/>
          <w:sz w:val="32"/>
          <w:szCs w:val="32"/>
        </w:rPr>
        <w:t>SPV</w:t>
      </w:r>
      <w:r>
        <w:rPr>
          <w:rFonts w:ascii="仿宋_GB2312" w:eastAsia="仿宋_GB2312" w:hAnsi="仿宋_GB2312" w:cs="仿宋_GB2312" w:hint="eastAsia"/>
          <w:bCs/>
          <w:sz w:val="32"/>
          <w:szCs w:val="32"/>
        </w:rPr>
        <w:t>），不含金融租赁公司。</w:t>
      </w:r>
    </w:p>
    <w:p w:rsidR="009A782C" w:rsidRDefault="00C844CB">
      <w:pPr>
        <w:adjustRightInd w:val="0"/>
        <w:snapToGrid w:val="0"/>
        <w:spacing w:line="324"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第三条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融资租赁母、子公司外债额度共享业务是指融资租赁子公司在自身外债额度不足的情况下，可以使用母公司尚未使用的外债额度借用外债。</w:t>
      </w:r>
    </w:p>
    <w:p w:rsidR="009A782C" w:rsidRDefault="00C844CB">
      <w:pPr>
        <w:adjustRightInd w:val="0"/>
        <w:snapToGrid w:val="0"/>
        <w:spacing w:line="324"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第四条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参与试点的融资租赁母、子公司应</w:t>
      </w:r>
      <w:r>
        <w:rPr>
          <w:rFonts w:ascii="仿宋_GB2312" w:eastAsia="仿宋_GB2312" w:hAnsi="仿宋_GB2312" w:cs="仿宋_GB2312" w:hint="eastAsia"/>
          <w:bCs/>
          <w:sz w:val="32"/>
          <w:szCs w:val="32"/>
        </w:rPr>
        <w:t>采用全口径跨境融资宏观审慎模式借用外债。可共享外债额度上限</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融资租赁母公司外债额度</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母公司已使用外债额度</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∑各子公司已共享外债额度。</w:t>
      </w:r>
    </w:p>
    <w:p w:rsidR="009A782C" w:rsidRDefault="00C844CB">
      <w:pPr>
        <w:adjustRightInd w:val="0"/>
        <w:snapToGrid w:val="0"/>
        <w:spacing w:line="324"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第五条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参与试点的融资租赁母、子公司应满足以下条件：</w:t>
      </w:r>
    </w:p>
    <w:p w:rsidR="009A782C" w:rsidRDefault="00C844CB">
      <w:pPr>
        <w:adjustRightInd w:val="0"/>
        <w:snapToGrid w:val="0"/>
        <w:spacing w:line="324"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（一）试点母公司应注册于国家外汇管理局雄安新区分局（以下简称雄安新区分局）辖</w:t>
      </w:r>
      <w:r>
        <w:rPr>
          <w:rFonts w:ascii="仿宋_GB2312" w:eastAsia="仿宋_GB2312" w:hAnsi="仿宋_GB2312" w:cs="仿宋_GB2312" w:hint="eastAsia"/>
          <w:bCs/>
          <w:sz w:val="32"/>
          <w:szCs w:val="32"/>
        </w:rPr>
        <w:t>区</w:t>
      </w:r>
      <w:r>
        <w:rPr>
          <w:rFonts w:ascii="仿宋_GB2312" w:eastAsia="仿宋_GB2312" w:hAnsi="仿宋_GB2312" w:cs="仿宋_GB2312" w:hint="eastAsia"/>
          <w:bCs/>
          <w:sz w:val="32"/>
          <w:szCs w:val="32"/>
        </w:rPr>
        <w:t>内，子公司应注册于国家外汇管理局河北省分局辖</w:t>
      </w:r>
      <w:r>
        <w:rPr>
          <w:rFonts w:ascii="仿宋_GB2312" w:eastAsia="仿宋_GB2312" w:hAnsi="仿宋_GB2312" w:cs="仿宋_GB2312" w:hint="eastAsia"/>
          <w:bCs/>
          <w:sz w:val="32"/>
          <w:szCs w:val="32"/>
        </w:rPr>
        <w:t>区</w:t>
      </w:r>
      <w:r>
        <w:rPr>
          <w:rFonts w:ascii="仿宋_GB2312" w:eastAsia="仿宋_GB2312" w:hAnsi="仿宋_GB2312" w:cs="仿宋_GB2312" w:hint="eastAsia"/>
          <w:bCs/>
          <w:sz w:val="32"/>
          <w:szCs w:val="32"/>
        </w:rPr>
        <w:t>内；</w:t>
      </w:r>
    </w:p>
    <w:p w:rsidR="009A782C" w:rsidRDefault="00C844CB">
      <w:pPr>
        <w:adjustRightInd w:val="0"/>
        <w:snapToGrid w:val="0"/>
        <w:spacing w:line="324"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（二）确有外债额度共享的需求；</w:t>
      </w:r>
    </w:p>
    <w:p w:rsidR="009A782C" w:rsidRDefault="00C844CB">
      <w:pPr>
        <w:adjustRightInd w:val="0"/>
        <w:snapToGrid w:val="0"/>
        <w:spacing w:line="324"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（三）具备完善的外债额度共享业务内控制度</w:t>
      </w:r>
      <w:r>
        <w:rPr>
          <w:rFonts w:ascii="仿宋_GB2312" w:eastAsia="仿宋_GB2312" w:hAnsi="仿宋_GB2312" w:cs="仿宋_GB2312" w:hint="eastAsia"/>
          <w:sz w:val="32"/>
          <w:szCs w:val="32"/>
        </w:rPr>
        <w:t>（包括但不限</w:t>
      </w:r>
      <w:r>
        <w:rPr>
          <w:rFonts w:ascii="仿宋_GB2312" w:eastAsia="仿宋_GB2312" w:hAnsi="仿宋_GB2312" w:cs="仿宋_GB2312" w:hint="eastAsia"/>
          <w:sz w:val="32"/>
          <w:szCs w:val="32"/>
        </w:rPr>
        <w:lastRenderedPageBreak/>
        <w:t>于相关职责分工、风险监控、外债资金使用管理、外债额度管理、外债额度共享业务相关办理流程等）</w:t>
      </w:r>
      <w:r>
        <w:rPr>
          <w:rFonts w:ascii="仿宋_GB2312" w:eastAsia="仿宋_GB2312" w:hAnsi="仿宋_GB2312" w:cs="仿宋_GB2312" w:hint="eastAsia"/>
          <w:bCs/>
          <w:sz w:val="32"/>
          <w:szCs w:val="32"/>
        </w:rPr>
        <w:t>；</w:t>
      </w:r>
    </w:p>
    <w:p w:rsidR="009A782C" w:rsidRDefault="00C844CB">
      <w:pPr>
        <w:adjustRightInd w:val="0"/>
        <w:snapToGrid w:val="0"/>
        <w:spacing w:line="324"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（四）具备明确的</w:t>
      </w:r>
      <w:r>
        <w:rPr>
          <w:rFonts w:ascii="仿宋_GB2312" w:eastAsia="仿宋_GB2312" w:hAnsi="仿宋_GB2312" w:cs="仿宋_GB2312" w:hint="eastAsia"/>
          <w:bCs/>
          <w:sz w:val="32"/>
          <w:szCs w:val="32"/>
        </w:rPr>
        <w:t>外债额度共享业务方案；</w:t>
      </w:r>
    </w:p>
    <w:p w:rsidR="009A782C" w:rsidRDefault="00C844CB">
      <w:pPr>
        <w:adjustRightInd w:val="0"/>
        <w:snapToGrid w:val="0"/>
        <w:spacing w:line="324"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（五）近两年无重大外汇违法违规行为（成立不满两年的企业，自成立之日起无外汇违规行政处罚记录）；</w:t>
      </w:r>
    </w:p>
    <w:p w:rsidR="009A782C" w:rsidRDefault="00C844CB">
      <w:pPr>
        <w:adjustRightInd w:val="0"/>
        <w:snapToGrid w:val="0"/>
        <w:spacing w:line="324"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（六）未被列入地方主管部门公布的经营异常融资租赁企业名单。</w:t>
      </w:r>
    </w:p>
    <w:p w:rsidR="009A782C" w:rsidRDefault="00C844CB">
      <w:pPr>
        <w:adjustRightInd w:val="0"/>
        <w:snapToGrid w:val="0"/>
        <w:spacing w:line="324"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第六条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融资租赁母、子公司参与外债额度共享业务试点的，应由母公司向雄安新区分局提交以下申请材料：</w:t>
      </w:r>
    </w:p>
    <w:p w:rsidR="009A782C" w:rsidRDefault="00C844CB">
      <w:pPr>
        <w:adjustRightInd w:val="0"/>
        <w:snapToGrid w:val="0"/>
        <w:spacing w:line="324"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（一）书面申请（包括母、子公司基本情况，母公司资产负债情况，已借用外债情况，外债额度共享方案，无违法违规行为的承诺等）；</w:t>
      </w:r>
    </w:p>
    <w:p w:rsidR="009A782C" w:rsidRDefault="00C844CB">
      <w:pPr>
        <w:pStyle w:val="BodyTextFirstIndent21"/>
        <w:adjustRightInd w:val="0"/>
        <w:snapToGrid w:val="0"/>
        <w:spacing w:line="324" w:lineRule="auto"/>
        <w:ind w:leftChars="0" w:left="0" w:right="0"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（二）相关内控制度原件及复印件；</w:t>
      </w:r>
    </w:p>
    <w:p w:rsidR="009A782C" w:rsidRDefault="00C844CB">
      <w:pPr>
        <w:adjustRightInd w:val="0"/>
        <w:snapToGrid w:val="0"/>
        <w:spacing w:line="324"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（三）母、子公司上年度或最近一期经审计的财务报告原件及复印件；</w:t>
      </w:r>
    </w:p>
    <w:p w:rsidR="009A782C" w:rsidRDefault="00C844CB">
      <w:pPr>
        <w:adjustRightInd w:val="0"/>
        <w:snapToGrid w:val="0"/>
        <w:spacing w:line="324"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（四）母、子公</w:t>
      </w:r>
      <w:r>
        <w:rPr>
          <w:rFonts w:ascii="仿宋_GB2312" w:eastAsia="仿宋_GB2312" w:hAnsi="仿宋_GB2312" w:cs="仿宋_GB2312" w:hint="eastAsia"/>
          <w:bCs/>
          <w:sz w:val="32"/>
          <w:szCs w:val="32"/>
        </w:rPr>
        <w:t>司营业执照复印件。</w:t>
      </w:r>
    </w:p>
    <w:p w:rsidR="009A782C" w:rsidRDefault="00C844CB">
      <w:pPr>
        <w:widowControl/>
        <w:autoSpaceDE w:val="0"/>
        <w:autoSpaceDN w:val="0"/>
        <w:adjustRightInd w:val="0"/>
        <w:snapToGrid w:val="0"/>
        <w:spacing w:line="324"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以上材料原件验后返还，外汇局留存加盖母公司公章的复印件。</w:t>
      </w:r>
    </w:p>
    <w:p w:rsidR="009A782C" w:rsidRDefault="00C844CB">
      <w:pPr>
        <w:widowControl/>
        <w:autoSpaceDE w:val="0"/>
        <w:autoSpaceDN w:val="0"/>
        <w:adjustRightInd w:val="0"/>
        <w:snapToGrid w:val="0"/>
        <w:spacing w:line="324"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第七条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雄安新区分局</w:t>
      </w:r>
      <w:r>
        <w:rPr>
          <w:rFonts w:ascii="仿宋_GB2312" w:eastAsia="仿宋_GB2312" w:hAnsi="仿宋_GB2312" w:cs="仿宋_GB2312" w:hint="eastAsia"/>
          <w:kern w:val="0"/>
          <w:sz w:val="32"/>
          <w:szCs w:val="32"/>
        </w:rPr>
        <w:t>同意融资租赁母、子公司参与外债额度共享业务试点的，应当在母公司可共享外债额度上限内，按</w:t>
      </w:r>
      <w:r>
        <w:rPr>
          <w:rFonts w:ascii="仿宋_GB2312" w:eastAsia="仿宋_GB2312" w:hAnsi="仿宋_GB2312" w:cs="仿宋_GB2312" w:hint="eastAsia"/>
          <w:sz w:val="32"/>
          <w:szCs w:val="32"/>
        </w:rPr>
        <w:t>实需原则确定其各子公司可</w:t>
      </w:r>
      <w:r>
        <w:rPr>
          <w:rFonts w:ascii="仿宋_GB2312" w:eastAsia="仿宋_GB2312" w:hAnsi="仿宋_GB2312" w:cs="仿宋_GB2312" w:hint="eastAsia"/>
          <w:kern w:val="0"/>
          <w:sz w:val="32"/>
          <w:szCs w:val="32"/>
        </w:rPr>
        <w:t>共享的外债额度，向母公司发</w:t>
      </w:r>
      <w:r>
        <w:rPr>
          <w:rFonts w:ascii="仿宋_GB2312" w:eastAsia="仿宋_GB2312" w:hAnsi="仿宋_GB2312" w:cs="仿宋_GB2312" w:hint="eastAsia"/>
          <w:sz w:val="32"/>
          <w:szCs w:val="32"/>
        </w:rPr>
        <w:t>放加盖资本项目行政许可专用章的《融资租赁母子公司外债额度共享业务情况表》（见附，以下简称《业务情况表》），并在资本项目信息系统“</w:t>
      </w:r>
      <w:r>
        <w:rPr>
          <w:rFonts w:ascii="仿宋_GB2312" w:eastAsia="仿宋_GB2312" w:hAnsi="仿宋_GB2312" w:cs="仿宋_GB2312" w:hint="eastAsia"/>
          <w:bCs/>
          <w:sz w:val="32"/>
          <w:szCs w:val="32"/>
        </w:rPr>
        <w:t>额度管理”模块为母公司录入共享后的剩余外债额度，</w:t>
      </w:r>
      <w:r>
        <w:rPr>
          <w:rFonts w:ascii="仿宋_GB2312" w:eastAsia="仿宋_GB2312" w:hAnsi="仿宋_GB2312" w:cs="仿宋_GB2312" w:hint="eastAsia"/>
          <w:color w:val="000000"/>
          <w:sz w:val="32"/>
          <w:szCs w:val="32"/>
        </w:rPr>
        <w:t>在</w:t>
      </w:r>
      <w:r>
        <w:rPr>
          <w:rFonts w:ascii="仿宋_GB2312" w:eastAsia="仿宋_GB2312" w:hAnsi="仿宋_GB2312" w:cs="仿宋_GB2312" w:hint="eastAsia"/>
          <w:color w:val="000000"/>
          <w:sz w:val="32"/>
          <w:szCs w:val="32"/>
        </w:rPr>
        <w:lastRenderedPageBreak/>
        <w:t>备注中注明相关额度共享情况。</w:t>
      </w:r>
      <w:r>
        <w:rPr>
          <w:rFonts w:ascii="仿宋_GB2312" w:eastAsia="仿宋_GB2312" w:hAnsi="仿宋_GB2312" w:cs="仿宋_GB2312" w:hint="eastAsia"/>
          <w:sz w:val="32"/>
          <w:szCs w:val="32"/>
        </w:rPr>
        <w:t>同时，</w:t>
      </w:r>
      <w:r>
        <w:rPr>
          <w:rFonts w:ascii="仿宋_GB2312" w:eastAsia="仿宋_GB2312" w:hAnsi="仿宋_GB2312" w:cs="仿宋_GB2312" w:hint="eastAsia"/>
          <w:bCs/>
          <w:sz w:val="32"/>
          <w:szCs w:val="32"/>
        </w:rPr>
        <w:t>雄安新区分局</w:t>
      </w:r>
      <w:r>
        <w:rPr>
          <w:rFonts w:ascii="仿宋_GB2312" w:eastAsia="仿宋_GB2312" w:hAnsi="仿宋_GB2312" w:cs="仿宋_GB2312" w:hint="eastAsia"/>
          <w:sz w:val="32"/>
          <w:szCs w:val="32"/>
        </w:rPr>
        <w:t>应通知子公司所在地外汇局外债额度共享情况。</w:t>
      </w:r>
    </w:p>
    <w:p w:rsidR="009A782C" w:rsidRDefault="00C844CB">
      <w:pPr>
        <w:adjustRightInd w:val="0"/>
        <w:snapToGrid w:val="0"/>
        <w:spacing w:line="324"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第八条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融资租赁子公司到所在地外汇局办理外债签约（变更）登记时，应提供书面申请、《宏观审慎跨境融资风险加权余额情况表（企业版）》、外债合同或主要条款复印件（境外发行债券的，需提供认购协议或全球债券证书等证明材料）、上年度或最近一期经审计的财务报告、其他相关批准文件（发展改革部门审核登记文件，如有）、营业执照（统一社会信用代码证），并同时提供《业务情况表》。所在地外汇局根据《业务情况表》、上年度或最近一期经审计的财务报告等，在资本项目信息系统“额度管理”模块调整子公司外债额度并在备注中注明相关额度共享情况。</w:t>
      </w:r>
    </w:p>
    <w:p w:rsidR="009A782C" w:rsidRDefault="00C844CB">
      <w:pPr>
        <w:adjustRightInd w:val="0"/>
        <w:snapToGrid w:val="0"/>
        <w:spacing w:line="324"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第九条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因融资租赁母公司净资产变化、子公司新增</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退出试点等影响外债额度共享的，母公司应及时向雄安新区分局重新提交外债额度共享业务申请。雄安新区分局收回原《业务情况表》并向其发放新的《业务情况表》，</w:t>
      </w:r>
      <w:r>
        <w:rPr>
          <w:rFonts w:ascii="仿宋_GB2312" w:eastAsia="仿宋_GB2312" w:hAnsi="仿宋_GB2312" w:cs="仿宋_GB2312" w:hint="eastAsia"/>
          <w:sz w:val="32"/>
          <w:szCs w:val="32"/>
        </w:rPr>
        <w:t>在资本项目信息系统</w:t>
      </w:r>
      <w:r>
        <w:rPr>
          <w:rFonts w:ascii="仿宋_GB2312" w:eastAsia="仿宋_GB2312" w:hAnsi="仿宋_GB2312" w:cs="仿宋_GB2312" w:hint="eastAsia"/>
          <w:bCs/>
          <w:sz w:val="32"/>
          <w:szCs w:val="32"/>
        </w:rPr>
        <w:t>“额度管理”</w:t>
      </w:r>
      <w:r>
        <w:rPr>
          <w:rFonts w:ascii="仿宋_GB2312" w:eastAsia="仿宋_GB2312" w:hAnsi="仿宋_GB2312" w:cs="仿宋_GB2312" w:hint="eastAsia"/>
          <w:sz w:val="32"/>
          <w:szCs w:val="32"/>
        </w:rPr>
        <w:t>模块调整母公司外债额度，在备注中注明相关额度共享情况。同时，</w:t>
      </w:r>
      <w:r>
        <w:rPr>
          <w:rFonts w:ascii="仿宋_GB2312" w:eastAsia="仿宋_GB2312" w:hAnsi="仿宋_GB2312" w:cs="仿宋_GB2312" w:hint="eastAsia"/>
          <w:bCs/>
          <w:sz w:val="32"/>
          <w:szCs w:val="32"/>
        </w:rPr>
        <w:t>雄安新区分局</w:t>
      </w:r>
      <w:r>
        <w:rPr>
          <w:rFonts w:ascii="仿宋_GB2312" w:eastAsia="仿宋_GB2312" w:hAnsi="仿宋_GB2312" w:cs="仿宋_GB2312" w:hint="eastAsia"/>
          <w:sz w:val="32"/>
          <w:szCs w:val="32"/>
        </w:rPr>
        <w:t>应通知子公司所</w:t>
      </w:r>
      <w:r>
        <w:rPr>
          <w:rFonts w:ascii="仿宋_GB2312" w:eastAsia="仿宋_GB2312" w:hAnsi="仿宋_GB2312" w:cs="仿宋_GB2312" w:hint="eastAsia"/>
          <w:color w:val="000000"/>
          <w:sz w:val="32"/>
          <w:szCs w:val="32"/>
        </w:rPr>
        <w:t>在地外汇局外债额度共享变更情况。</w:t>
      </w:r>
    </w:p>
    <w:p w:rsidR="009A782C" w:rsidRDefault="00C844CB">
      <w:pPr>
        <w:adjustRightInd w:val="0"/>
        <w:snapToGrid w:val="0"/>
        <w:spacing w:line="324"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第十条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所有子公司偿清使用共享额度借入的外债并办理注销登记后，融资租赁公司母公司可持申请书和《业务情况表》向雄安新区分局申请终止业务。雄安新区分局收回《业务情况表》并通知子公</w:t>
      </w:r>
      <w:r>
        <w:rPr>
          <w:rFonts w:ascii="仿宋_GB2312" w:eastAsia="仿宋_GB2312" w:hAnsi="仿宋_GB2312" w:cs="仿宋_GB2312" w:hint="eastAsia"/>
          <w:bCs/>
          <w:sz w:val="32"/>
          <w:szCs w:val="32"/>
        </w:rPr>
        <w:t>司所在地外汇局外债额度共享终止情况，子公司所在地外汇局</w:t>
      </w:r>
      <w:r>
        <w:rPr>
          <w:rFonts w:ascii="仿宋_GB2312" w:eastAsia="仿宋_GB2312" w:hAnsi="仿宋_GB2312" w:cs="仿宋_GB2312" w:hint="eastAsia"/>
          <w:color w:val="000000"/>
          <w:sz w:val="32"/>
          <w:szCs w:val="32"/>
        </w:rPr>
        <w:t>在资本项目信息系统</w:t>
      </w:r>
      <w:r>
        <w:rPr>
          <w:rFonts w:ascii="仿宋_GB2312" w:eastAsia="仿宋_GB2312" w:hAnsi="仿宋_GB2312" w:cs="仿宋_GB2312" w:hint="eastAsia"/>
          <w:bCs/>
          <w:sz w:val="32"/>
          <w:szCs w:val="32"/>
        </w:rPr>
        <w:t>“额度管理”</w:t>
      </w:r>
      <w:r>
        <w:rPr>
          <w:rFonts w:ascii="仿宋_GB2312" w:eastAsia="仿宋_GB2312" w:hAnsi="仿宋_GB2312" w:cs="仿宋_GB2312" w:hint="eastAsia"/>
          <w:color w:val="000000"/>
          <w:sz w:val="32"/>
          <w:szCs w:val="32"/>
        </w:rPr>
        <w:t>模块调整子公司外债</w:t>
      </w:r>
      <w:r>
        <w:rPr>
          <w:rFonts w:ascii="仿宋_GB2312" w:eastAsia="仿宋_GB2312" w:hAnsi="仿宋_GB2312" w:cs="仿宋_GB2312" w:hint="eastAsia"/>
          <w:color w:val="000000"/>
          <w:sz w:val="32"/>
          <w:szCs w:val="32"/>
        </w:rPr>
        <w:lastRenderedPageBreak/>
        <w:t>额度。</w:t>
      </w:r>
    </w:p>
    <w:p w:rsidR="009A782C" w:rsidRDefault="00C844CB">
      <w:pPr>
        <w:adjustRightInd w:val="0"/>
        <w:snapToGrid w:val="0"/>
        <w:spacing w:line="324" w:lineRule="auto"/>
        <w:ind w:firstLineChars="200" w:firstLine="640"/>
        <w:rPr>
          <w:rFonts w:eastAsia="仿宋_GB2312"/>
          <w:bCs/>
          <w:sz w:val="32"/>
          <w:szCs w:val="32"/>
        </w:rPr>
      </w:pPr>
      <w:r>
        <w:rPr>
          <w:rFonts w:ascii="仿宋_GB2312" w:eastAsia="仿宋_GB2312" w:hAnsi="仿宋_GB2312" w:cs="仿宋_GB2312" w:hint="eastAsia"/>
          <w:bCs/>
          <w:sz w:val="32"/>
          <w:szCs w:val="32"/>
        </w:rPr>
        <w:t>第十一条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融资租赁公司发生重大外汇违法违规行为，或被列入地方主管部门公布的经营异常企业名单，或子公司参加业务后超过一年未发生实际提款的，</w:t>
      </w:r>
      <w:r>
        <w:rPr>
          <w:rFonts w:eastAsia="仿宋_GB2312" w:hint="eastAsia"/>
          <w:bCs/>
          <w:sz w:val="32"/>
          <w:szCs w:val="32"/>
        </w:rPr>
        <w:t>外汇局有权要求其退出或终止业务。</w:t>
      </w:r>
    </w:p>
    <w:p w:rsidR="009A782C" w:rsidRDefault="00C844CB">
      <w:pPr>
        <w:widowControl/>
        <w:adjustRightInd w:val="0"/>
        <w:snapToGrid w:val="0"/>
        <w:spacing w:line="324" w:lineRule="auto"/>
        <w:ind w:firstLineChars="200" w:firstLine="640"/>
        <w:rPr>
          <w:rFonts w:eastAsia="仿宋_GB2312"/>
          <w:bCs/>
          <w:sz w:val="32"/>
          <w:szCs w:val="32"/>
        </w:rPr>
      </w:pPr>
      <w:r>
        <w:rPr>
          <w:rFonts w:eastAsia="仿宋_GB2312" w:hint="eastAsia"/>
          <w:bCs/>
          <w:sz w:val="32"/>
          <w:szCs w:val="32"/>
        </w:rPr>
        <w:t>第十二条</w:t>
      </w:r>
      <w:r>
        <w:rPr>
          <w:rFonts w:eastAsia="仿宋_GB2312" w:hint="eastAsia"/>
          <w:bCs/>
          <w:sz w:val="32"/>
          <w:szCs w:val="32"/>
        </w:rPr>
        <w:t xml:space="preserve"> </w:t>
      </w:r>
      <w:r>
        <w:rPr>
          <w:rFonts w:eastAsia="仿宋_GB2312" w:hint="eastAsia"/>
          <w:bCs/>
          <w:sz w:val="32"/>
          <w:szCs w:val="32"/>
        </w:rPr>
        <w:t>融资租赁公司取得试点资格后，母公司应每年向雄安新区分局报送子公司共享外债额度的实际使用情况。发生重大事项和异常情况的，银行、融资租赁公司应及时向外汇局报告。</w:t>
      </w:r>
    </w:p>
    <w:p w:rsidR="009A782C" w:rsidRDefault="00C844CB">
      <w:pPr>
        <w:widowControl/>
        <w:autoSpaceDE w:val="0"/>
        <w:autoSpaceDN w:val="0"/>
        <w:adjustRightInd w:val="0"/>
        <w:snapToGrid w:val="0"/>
        <w:spacing w:line="324" w:lineRule="auto"/>
        <w:ind w:firstLineChars="200" w:firstLine="640"/>
        <w:rPr>
          <w:rFonts w:ascii="仿宋_GB2312" w:eastAsia="仿宋_GB2312" w:hAnsi="仿宋_GB2312" w:cs="仿宋_GB2312"/>
          <w:bCs/>
          <w:sz w:val="32"/>
          <w:szCs w:val="32"/>
        </w:rPr>
      </w:pPr>
      <w:r>
        <w:rPr>
          <w:rFonts w:eastAsia="仿宋_GB2312" w:hint="eastAsia"/>
          <w:bCs/>
          <w:sz w:val="32"/>
          <w:szCs w:val="32"/>
        </w:rPr>
        <w:t>第十三条</w:t>
      </w:r>
      <w:r>
        <w:rPr>
          <w:rFonts w:eastAsia="仿宋_GB2312" w:hint="eastAsia"/>
          <w:bCs/>
          <w:sz w:val="32"/>
          <w:szCs w:val="32"/>
        </w:rPr>
        <w:t xml:space="preserve"> </w:t>
      </w:r>
      <w:r>
        <w:rPr>
          <w:rFonts w:eastAsia="仿宋_GB2312" w:hint="eastAsia"/>
          <w:bCs/>
          <w:sz w:val="32"/>
          <w:szCs w:val="32"/>
        </w:rPr>
        <w:t>融资租赁母、子公司所在地外汇局负责对辖</w:t>
      </w:r>
      <w:r>
        <w:rPr>
          <w:rFonts w:ascii="仿宋_GB2312" w:eastAsia="仿宋_GB2312" w:hAnsi="仿宋_GB2312" w:cs="仿宋_GB2312" w:hint="eastAsia"/>
          <w:bCs/>
          <w:sz w:val="32"/>
          <w:szCs w:val="32"/>
        </w:rPr>
        <w:t>区</w:t>
      </w:r>
      <w:r>
        <w:rPr>
          <w:rFonts w:ascii="仿宋_GB2312" w:eastAsia="仿宋_GB2312" w:hAnsi="仿宋_GB2312" w:cs="仿宋_GB2312" w:hint="eastAsia"/>
          <w:bCs/>
          <w:sz w:val="32"/>
          <w:szCs w:val="32"/>
        </w:rPr>
        <w:t>内融资租赁公司</w:t>
      </w:r>
      <w:r>
        <w:rPr>
          <w:rFonts w:ascii="仿宋_GB2312" w:eastAsia="仿宋_GB2312" w:hAnsi="仿宋_GB2312" w:cs="仿宋_GB2312" w:hint="eastAsia"/>
          <w:bCs/>
          <w:sz w:val="32"/>
          <w:szCs w:val="32"/>
        </w:rPr>
        <w:t>外债额度共享业务进行统计监测和业务核查。外汇局可通过建立外债额度共享电子台账、搭建信息沟通平台等方式，加强对外债额度共享业务的统一管理。</w:t>
      </w:r>
    </w:p>
    <w:p w:rsidR="009A782C" w:rsidRDefault="00C844CB">
      <w:pPr>
        <w:adjustRightInd w:val="0"/>
        <w:snapToGrid w:val="0"/>
        <w:spacing w:line="324"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第十四条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银行和融资租赁母、子公司</w:t>
      </w:r>
      <w:r>
        <w:rPr>
          <w:rFonts w:ascii="仿宋_GB2312" w:eastAsia="仿宋_GB2312" w:hAnsi="仿宋_GB2312" w:cs="仿宋_GB2312" w:hint="eastAsia"/>
          <w:bCs/>
          <w:sz w:val="32"/>
          <w:szCs w:val="32"/>
        </w:rPr>
        <w:t>若</w:t>
      </w:r>
      <w:r>
        <w:rPr>
          <w:rFonts w:ascii="仿宋_GB2312" w:eastAsia="仿宋_GB2312" w:hAnsi="仿宋_GB2312" w:cs="仿宋_GB2312" w:hint="eastAsia"/>
          <w:bCs/>
          <w:sz w:val="32"/>
          <w:szCs w:val="32"/>
        </w:rPr>
        <w:t>未按本实施细则及相关外汇管理规定办理业务，外汇局根据《中华人民共和国外汇管理条例》及相关规定进行处罚；情节轻微并及时纠正，没有造成危害后果的，可约谈相关主体或向其出具风险提示函。融资租赁公司存在套利或其它严重违规行为的，外汇局将要求其退出业务。</w:t>
      </w:r>
    </w:p>
    <w:p w:rsidR="009A782C" w:rsidRDefault="00C844CB">
      <w:pPr>
        <w:adjustRightInd w:val="0"/>
        <w:snapToGrid w:val="0"/>
        <w:spacing w:line="324"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第十五条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其他未尽事宜，适用现行外汇管理规定。</w:t>
      </w:r>
    </w:p>
    <w:p w:rsidR="009A782C" w:rsidRDefault="009A782C">
      <w:pPr>
        <w:adjustRightInd w:val="0"/>
        <w:snapToGrid w:val="0"/>
        <w:spacing w:line="324" w:lineRule="auto"/>
        <w:ind w:firstLineChars="200" w:firstLine="640"/>
        <w:rPr>
          <w:rFonts w:ascii="仿宋_GB2312" w:eastAsia="仿宋_GB2312" w:hAnsi="仿宋_GB2312" w:cs="仿宋_GB2312"/>
          <w:bCs/>
          <w:sz w:val="32"/>
          <w:szCs w:val="32"/>
        </w:rPr>
      </w:pPr>
    </w:p>
    <w:p w:rsidR="009A782C" w:rsidRDefault="00C844CB">
      <w:pPr>
        <w:adjustRightInd w:val="0"/>
        <w:snapToGrid w:val="0"/>
        <w:spacing w:line="324"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附：融资租赁母子公司外债额度共享业务情况表</w:t>
      </w:r>
    </w:p>
    <w:p w:rsidR="009A782C" w:rsidRDefault="00C844CB">
      <w:pPr>
        <w:adjustRightInd w:val="0"/>
        <w:snapToGrid w:val="0"/>
        <w:rPr>
          <w:rFonts w:ascii="黑体" w:eastAsia="黑体" w:hAnsi="黑体"/>
          <w:sz w:val="32"/>
        </w:rPr>
      </w:pPr>
      <w:r>
        <w:rPr>
          <w:rFonts w:eastAsia="仿宋_GB2312" w:hint="eastAsia"/>
          <w:bCs/>
          <w:sz w:val="32"/>
          <w:szCs w:val="32"/>
        </w:rPr>
        <w:br w:type="page"/>
      </w:r>
      <w:r>
        <w:rPr>
          <w:rFonts w:ascii="黑体" w:eastAsia="黑体" w:hAnsi="黑体" w:hint="eastAsia"/>
          <w:sz w:val="32"/>
        </w:rPr>
        <w:lastRenderedPageBreak/>
        <w:t>附</w:t>
      </w:r>
    </w:p>
    <w:p w:rsidR="009A782C" w:rsidRDefault="009A782C">
      <w:pPr>
        <w:adjustRightInd w:val="0"/>
        <w:snapToGrid w:val="0"/>
        <w:rPr>
          <w:rFonts w:ascii="黑体" w:eastAsia="黑体" w:hAnsi="黑体"/>
          <w:sz w:val="32"/>
        </w:rPr>
      </w:pPr>
    </w:p>
    <w:p w:rsidR="009A782C" w:rsidRDefault="00C844CB">
      <w:pPr>
        <w:adjustRightInd w:val="0"/>
        <w:snapToGrid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融资租赁母子公司外债额度共享业务情况表</w:t>
      </w:r>
    </w:p>
    <w:p w:rsidR="009A782C" w:rsidRDefault="009A782C">
      <w:pPr>
        <w:adjustRightInd w:val="0"/>
        <w:snapToGrid w:val="0"/>
        <w:jc w:val="center"/>
        <w:rPr>
          <w:rFonts w:ascii="方正小标宋简体" w:eastAsia="方正小标宋简体" w:hAnsi="方正小标宋简体" w:cs="方正小标宋简体"/>
          <w:sz w:val="36"/>
          <w:szCs w:val="36"/>
        </w:rPr>
      </w:pPr>
    </w:p>
    <w:p w:rsidR="009A782C" w:rsidRPr="00CB150D" w:rsidRDefault="00C844CB">
      <w:pPr>
        <w:spacing w:line="578" w:lineRule="exact"/>
        <w:ind w:firstLineChars="200" w:firstLine="560"/>
        <w:jc w:val="center"/>
        <w:rPr>
          <w:rFonts w:eastAsia="仿宋_GB2312"/>
          <w:sz w:val="28"/>
          <w:szCs w:val="28"/>
          <w:u w:val="single"/>
        </w:rPr>
      </w:pPr>
      <w:r>
        <w:rPr>
          <w:rFonts w:eastAsia="仿宋_GB2312"/>
          <w:sz w:val="28"/>
          <w:szCs w:val="28"/>
        </w:rPr>
        <w:t>编号：</w:t>
      </w:r>
      <w:r w:rsidR="00CB150D" w:rsidRPr="00CB150D">
        <w:rPr>
          <w:rFonts w:eastAsia="仿宋_GB2312" w:hint="eastAsia"/>
          <w:sz w:val="28"/>
          <w:szCs w:val="28"/>
          <w:u w:val="single"/>
        </w:rPr>
        <w:t xml:space="preserve">                   </w:t>
      </w:r>
    </w:p>
    <w:p w:rsidR="009A782C" w:rsidRDefault="00CB150D" w:rsidP="00CB150D">
      <w:pPr>
        <w:spacing w:line="578" w:lineRule="exact"/>
        <w:ind w:firstLineChars="50" w:firstLine="160"/>
        <w:jc w:val="left"/>
        <w:textAlignment w:val="baseline"/>
        <w:rPr>
          <w:rFonts w:eastAsia="仿宋_GB2312"/>
          <w:sz w:val="32"/>
          <w:szCs w:val="32"/>
        </w:rPr>
      </w:pPr>
      <w:r>
        <w:rPr>
          <w:rFonts w:eastAsia="仿宋_GB2312" w:hint="eastAsia"/>
          <w:sz w:val="32"/>
          <w:szCs w:val="32"/>
        </w:rPr>
        <w:t xml:space="preserve"> </w:t>
      </w:r>
      <w:r w:rsidRPr="00CB150D">
        <w:rPr>
          <w:rFonts w:eastAsia="仿宋_GB2312" w:hint="eastAsia"/>
          <w:sz w:val="32"/>
          <w:szCs w:val="32"/>
          <w:u w:val="single"/>
        </w:rPr>
        <w:t xml:space="preserve">              </w:t>
      </w:r>
      <w:r w:rsidR="00C844CB">
        <w:rPr>
          <w:rFonts w:eastAsia="仿宋_GB2312"/>
          <w:sz w:val="32"/>
          <w:szCs w:val="32"/>
        </w:rPr>
        <w:t>：</w:t>
      </w:r>
    </w:p>
    <w:p w:rsidR="009A782C" w:rsidRDefault="00C844CB">
      <w:pPr>
        <w:adjustRightInd w:val="0"/>
        <w:snapToGrid w:val="0"/>
        <w:spacing w:line="324" w:lineRule="auto"/>
        <w:ind w:firstLineChars="200" w:firstLine="640"/>
        <w:rPr>
          <w:rFonts w:eastAsia="仿宋_GB2312"/>
          <w:sz w:val="32"/>
          <w:szCs w:val="32"/>
        </w:rPr>
      </w:pPr>
      <w:r>
        <w:rPr>
          <w:rFonts w:eastAsia="仿宋_GB2312"/>
          <w:sz w:val="32"/>
          <w:szCs w:val="32"/>
        </w:rPr>
        <w:t>你</w:t>
      </w:r>
      <w:r>
        <w:rPr>
          <w:rFonts w:eastAsia="仿宋_GB2312" w:hint="eastAsia"/>
          <w:sz w:val="32"/>
          <w:szCs w:val="32"/>
        </w:rPr>
        <w:t>公司</w:t>
      </w:r>
      <w:r>
        <w:rPr>
          <w:rFonts w:eastAsia="仿宋_GB2312"/>
          <w:sz w:val="32"/>
          <w:szCs w:val="32"/>
        </w:rPr>
        <w:t>及各子公司应按照《融资租赁母子公司外债额度共享业务实施细则》参与外债额度共享业务。参与业务母、子公司名单及共享额度如下：</w:t>
      </w:r>
    </w:p>
    <w:p w:rsidR="009A782C" w:rsidRDefault="00C844CB" w:rsidP="00CB150D">
      <w:pPr>
        <w:ind w:firstLineChars="300" w:firstLine="720"/>
        <w:rPr>
          <w:rFonts w:ascii="仿宋_GB2312" w:eastAsia="仿宋_GB2312" w:hAnsi="仿宋_GB2312" w:cs="仿宋_GB2312"/>
          <w:sz w:val="24"/>
          <w:szCs w:val="24"/>
        </w:rPr>
      </w:pPr>
      <w:r>
        <w:rPr>
          <w:rFonts w:ascii="仿宋_GB2312" w:eastAsia="仿宋_GB2312" w:hAnsi="仿宋_GB2312" w:cs="仿宋_GB2312" w:hint="eastAsia"/>
          <w:sz w:val="24"/>
          <w:szCs w:val="24"/>
        </w:rPr>
        <w:t>金额单位：万元人民币</w:t>
      </w:r>
    </w:p>
    <w:tbl>
      <w:tblPr>
        <w:tblW w:w="9707" w:type="dxa"/>
        <w:jc w:val="center"/>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6"/>
        <w:gridCol w:w="2746"/>
        <w:gridCol w:w="1620"/>
        <w:gridCol w:w="207"/>
        <w:gridCol w:w="1203"/>
        <w:gridCol w:w="880"/>
        <w:gridCol w:w="1785"/>
      </w:tblGrid>
      <w:tr w:rsidR="009A782C">
        <w:trPr>
          <w:trHeight w:val="511"/>
          <w:jc w:val="center"/>
        </w:trPr>
        <w:tc>
          <w:tcPr>
            <w:tcW w:w="1266" w:type="dxa"/>
            <w:vMerge w:val="restart"/>
            <w:vAlign w:val="center"/>
          </w:tcPr>
          <w:p w:rsidR="009A782C" w:rsidRDefault="00C844CB">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母公司</w:t>
            </w:r>
          </w:p>
          <w:p w:rsidR="009A782C" w:rsidRDefault="00C844CB">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基本信息</w:t>
            </w:r>
          </w:p>
        </w:tc>
        <w:tc>
          <w:tcPr>
            <w:tcW w:w="2746" w:type="dxa"/>
            <w:vAlign w:val="center"/>
          </w:tcPr>
          <w:p w:rsidR="009A782C" w:rsidRDefault="00C844CB">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母公司名称</w:t>
            </w:r>
          </w:p>
        </w:tc>
        <w:tc>
          <w:tcPr>
            <w:tcW w:w="5695" w:type="dxa"/>
            <w:gridSpan w:val="5"/>
            <w:vAlign w:val="center"/>
          </w:tcPr>
          <w:p w:rsidR="009A782C" w:rsidRDefault="009A782C">
            <w:pPr>
              <w:spacing w:line="320" w:lineRule="exact"/>
              <w:jc w:val="center"/>
              <w:rPr>
                <w:rFonts w:ascii="仿宋_GB2312" w:eastAsia="仿宋_GB2312" w:hAnsi="仿宋_GB2312" w:cs="仿宋_GB2312"/>
                <w:sz w:val="24"/>
                <w:szCs w:val="24"/>
              </w:rPr>
            </w:pPr>
          </w:p>
        </w:tc>
      </w:tr>
      <w:tr w:rsidR="009A782C">
        <w:trPr>
          <w:trHeight w:val="679"/>
          <w:jc w:val="center"/>
        </w:trPr>
        <w:tc>
          <w:tcPr>
            <w:tcW w:w="1266" w:type="dxa"/>
            <w:vMerge/>
            <w:vAlign w:val="center"/>
          </w:tcPr>
          <w:p w:rsidR="009A782C" w:rsidRDefault="009A782C">
            <w:pPr>
              <w:spacing w:line="320" w:lineRule="exact"/>
              <w:jc w:val="center"/>
              <w:rPr>
                <w:rFonts w:ascii="仿宋_GB2312" w:eastAsia="仿宋_GB2312" w:hAnsi="仿宋_GB2312" w:cs="仿宋_GB2312"/>
                <w:sz w:val="24"/>
                <w:szCs w:val="24"/>
              </w:rPr>
            </w:pPr>
          </w:p>
        </w:tc>
        <w:tc>
          <w:tcPr>
            <w:tcW w:w="2746" w:type="dxa"/>
            <w:vAlign w:val="center"/>
          </w:tcPr>
          <w:p w:rsidR="009A782C" w:rsidRDefault="00C844CB">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组织机构代码</w:t>
            </w:r>
          </w:p>
        </w:tc>
        <w:tc>
          <w:tcPr>
            <w:tcW w:w="1827" w:type="dxa"/>
            <w:gridSpan w:val="2"/>
            <w:vAlign w:val="center"/>
          </w:tcPr>
          <w:p w:rsidR="009A782C" w:rsidRDefault="009A782C">
            <w:pPr>
              <w:spacing w:line="320" w:lineRule="exact"/>
              <w:jc w:val="center"/>
              <w:rPr>
                <w:rFonts w:ascii="仿宋_GB2312" w:eastAsia="仿宋_GB2312" w:hAnsi="仿宋_GB2312" w:cs="仿宋_GB2312"/>
                <w:sz w:val="24"/>
                <w:szCs w:val="24"/>
              </w:rPr>
            </w:pPr>
          </w:p>
        </w:tc>
        <w:tc>
          <w:tcPr>
            <w:tcW w:w="2083" w:type="dxa"/>
            <w:gridSpan w:val="2"/>
            <w:vAlign w:val="center"/>
          </w:tcPr>
          <w:p w:rsidR="009A782C" w:rsidRDefault="00C844CB">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所属外汇局</w:t>
            </w:r>
          </w:p>
        </w:tc>
        <w:tc>
          <w:tcPr>
            <w:tcW w:w="1785" w:type="dxa"/>
            <w:vAlign w:val="center"/>
          </w:tcPr>
          <w:p w:rsidR="009A782C" w:rsidRDefault="009A782C">
            <w:pPr>
              <w:spacing w:line="320" w:lineRule="exact"/>
              <w:jc w:val="center"/>
              <w:rPr>
                <w:rFonts w:ascii="仿宋_GB2312" w:eastAsia="仿宋_GB2312" w:hAnsi="仿宋_GB2312" w:cs="仿宋_GB2312"/>
                <w:sz w:val="24"/>
                <w:szCs w:val="24"/>
              </w:rPr>
            </w:pPr>
          </w:p>
        </w:tc>
      </w:tr>
      <w:tr w:rsidR="009A782C">
        <w:trPr>
          <w:trHeight w:val="480"/>
          <w:jc w:val="center"/>
        </w:trPr>
        <w:tc>
          <w:tcPr>
            <w:tcW w:w="1266" w:type="dxa"/>
            <w:vMerge w:val="restart"/>
            <w:vAlign w:val="center"/>
          </w:tcPr>
          <w:p w:rsidR="009A782C" w:rsidRDefault="00C844CB">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母公司</w:t>
            </w:r>
          </w:p>
          <w:p w:rsidR="009A782C" w:rsidRDefault="00C844CB">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外债情况</w:t>
            </w:r>
          </w:p>
        </w:tc>
        <w:tc>
          <w:tcPr>
            <w:tcW w:w="2746" w:type="dxa"/>
            <w:vAlign w:val="center"/>
          </w:tcPr>
          <w:p w:rsidR="009A782C" w:rsidRDefault="00C844CB">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母公司初始净资产</w:t>
            </w:r>
          </w:p>
        </w:tc>
        <w:tc>
          <w:tcPr>
            <w:tcW w:w="5695" w:type="dxa"/>
            <w:gridSpan w:val="5"/>
            <w:vAlign w:val="center"/>
          </w:tcPr>
          <w:p w:rsidR="009A782C" w:rsidRDefault="009A782C">
            <w:pPr>
              <w:spacing w:line="320" w:lineRule="exact"/>
              <w:jc w:val="center"/>
              <w:rPr>
                <w:rFonts w:ascii="仿宋_GB2312" w:eastAsia="仿宋_GB2312" w:hAnsi="仿宋_GB2312" w:cs="仿宋_GB2312"/>
                <w:sz w:val="24"/>
                <w:szCs w:val="24"/>
              </w:rPr>
            </w:pPr>
          </w:p>
        </w:tc>
      </w:tr>
      <w:tr w:rsidR="009A782C">
        <w:trPr>
          <w:trHeight w:val="407"/>
          <w:jc w:val="center"/>
        </w:trPr>
        <w:tc>
          <w:tcPr>
            <w:tcW w:w="1266" w:type="dxa"/>
            <w:vMerge/>
            <w:vAlign w:val="center"/>
          </w:tcPr>
          <w:p w:rsidR="009A782C" w:rsidRDefault="009A782C">
            <w:pPr>
              <w:spacing w:line="320" w:lineRule="exact"/>
              <w:jc w:val="center"/>
              <w:rPr>
                <w:rFonts w:ascii="仿宋_GB2312" w:eastAsia="仿宋_GB2312" w:hAnsi="仿宋_GB2312" w:cs="仿宋_GB2312"/>
                <w:sz w:val="24"/>
                <w:szCs w:val="24"/>
              </w:rPr>
            </w:pPr>
          </w:p>
        </w:tc>
        <w:tc>
          <w:tcPr>
            <w:tcW w:w="2746" w:type="dxa"/>
            <w:vAlign w:val="center"/>
          </w:tcPr>
          <w:p w:rsidR="009A782C" w:rsidRDefault="00C844CB">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母公司外债额度</w:t>
            </w:r>
          </w:p>
        </w:tc>
        <w:tc>
          <w:tcPr>
            <w:tcW w:w="5695" w:type="dxa"/>
            <w:gridSpan w:val="5"/>
            <w:vAlign w:val="center"/>
          </w:tcPr>
          <w:p w:rsidR="009A782C" w:rsidRDefault="009A782C">
            <w:pPr>
              <w:spacing w:line="320" w:lineRule="exact"/>
              <w:jc w:val="center"/>
              <w:rPr>
                <w:rFonts w:ascii="仿宋_GB2312" w:eastAsia="仿宋_GB2312" w:hAnsi="仿宋_GB2312" w:cs="仿宋_GB2312"/>
                <w:sz w:val="24"/>
                <w:szCs w:val="24"/>
              </w:rPr>
            </w:pPr>
          </w:p>
        </w:tc>
      </w:tr>
      <w:tr w:rsidR="009A782C">
        <w:trPr>
          <w:trHeight w:val="397"/>
          <w:jc w:val="center"/>
        </w:trPr>
        <w:tc>
          <w:tcPr>
            <w:tcW w:w="1266" w:type="dxa"/>
            <w:vMerge/>
            <w:vAlign w:val="center"/>
          </w:tcPr>
          <w:p w:rsidR="009A782C" w:rsidRDefault="009A782C">
            <w:pPr>
              <w:spacing w:line="320" w:lineRule="exact"/>
              <w:jc w:val="center"/>
              <w:rPr>
                <w:rFonts w:ascii="仿宋_GB2312" w:eastAsia="仿宋_GB2312" w:hAnsi="仿宋_GB2312" w:cs="仿宋_GB2312"/>
                <w:sz w:val="24"/>
                <w:szCs w:val="24"/>
              </w:rPr>
            </w:pPr>
          </w:p>
        </w:tc>
        <w:tc>
          <w:tcPr>
            <w:tcW w:w="2746" w:type="dxa"/>
            <w:vAlign w:val="center"/>
          </w:tcPr>
          <w:p w:rsidR="009A782C" w:rsidRDefault="00C844CB">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母公司已使用外债额度</w:t>
            </w:r>
          </w:p>
        </w:tc>
        <w:tc>
          <w:tcPr>
            <w:tcW w:w="5695" w:type="dxa"/>
            <w:gridSpan w:val="5"/>
            <w:vAlign w:val="center"/>
          </w:tcPr>
          <w:p w:rsidR="009A782C" w:rsidRDefault="009A782C">
            <w:pPr>
              <w:spacing w:line="320" w:lineRule="exact"/>
              <w:jc w:val="center"/>
              <w:rPr>
                <w:rFonts w:ascii="仿宋_GB2312" w:eastAsia="仿宋_GB2312" w:hAnsi="仿宋_GB2312" w:cs="仿宋_GB2312"/>
                <w:sz w:val="24"/>
                <w:szCs w:val="24"/>
              </w:rPr>
            </w:pPr>
          </w:p>
        </w:tc>
      </w:tr>
      <w:tr w:rsidR="009A782C">
        <w:trPr>
          <w:trHeight w:val="362"/>
          <w:jc w:val="center"/>
        </w:trPr>
        <w:tc>
          <w:tcPr>
            <w:tcW w:w="1266" w:type="dxa"/>
            <w:vMerge w:val="restart"/>
            <w:vAlign w:val="center"/>
          </w:tcPr>
          <w:p w:rsidR="009A782C" w:rsidRDefault="00C844CB">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子公司</w:t>
            </w:r>
          </w:p>
          <w:p w:rsidR="009A782C" w:rsidRDefault="00C844CB">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参与外</w:t>
            </w:r>
          </w:p>
          <w:p w:rsidR="009A782C" w:rsidRDefault="00C844CB">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债额度</w:t>
            </w:r>
          </w:p>
          <w:p w:rsidR="009A782C" w:rsidRDefault="00C844CB">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共享情况</w:t>
            </w:r>
          </w:p>
        </w:tc>
        <w:tc>
          <w:tcPr>
            <w:tcW w:w="2746" w:type="dxa"/>
            <w:vAlign w:val="center"/>
          </w:tcPr>
          <w:p w:rsidR="009A782C" w:rsidRDefault="00C844CB">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子公司名称</w:t>
            </w:r>
          </w:p>
        </w:tc>
        <w:tc>
          <w:tcPr>
            <w:tcW w:w="1620" w:type="dxa"/>
            <w:vAlign w:val="center"/>
          </w:tcPr>
          <w:p w:rsidR="009A782C" w:rsidRDefault="00C844CB">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组织机</w:t>
            </w:r>
          </w:p>
          <w:p w:rsidR="009A782C" w:rsidRDefault="00C844CB">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构代码</w:t>
            </w:r>
          </w:p>
        </w:tc>
        <w:tc>
          <w:tcPr>
            <w:tcW w:w="1410" w:type="dxa"/>
            <w:gridSpan w:val="2"/>
            <w:vAlign w:val="center"/>
          </w:tcPr>
          <w:p w:rsidR="009A782C" w:rsidRDefault="00C844CB">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所属</w:t>
            </w:r>
          </w:p>
          <w:p w:rsidR="009A782C" w:rsidRDefault="00C844CB">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外汇局</w:t>
            </w:r>
          </w:p>
        </w:tc>
        <w:tc>
          <w:tcPr>
            <w:tcW w:w="2665" w:type="dxa"/>
            <w:gridSpan w:val="2"/>
            <w:vAlign w:val="center"/>
          </w:tcPr>
          <w:p w:rsidR="009A782C" w:rsidRDefault="00C844CB">
            <w:pPr>
              <w:pStyle w:val="p15"/>
              <w:spacing w:line="400" w:lineRule="exact"/>
              <w:ind w:firstLine="0"/>
              <w:jc w:val="center"/>
              <w:rPr>
                <w:rFonts w:ascii="宋体" w:hAnsi="宋体" w:cs="宋体"/>
                <w:kern w:val="2"/>
                <w:sz w:val="24"/>
                <w:szCs w:val="24"/>
              </w:rPr>
            </w:pPr>
            <w:r>
              <w:rPr>
                <w:rFonts w:ascii="Times New Roman" w:eastAsia="仿宋_GB2312" w:hAnsi="Times New Roman"/>
                <w:sz w:val="24"/>
                <w:szCs w:val="24"/>
              </w:rPr>
              <w:t>参与共享的外债额度</w:t>
            </w:r>
          </w:p>
        </w:tc>
      </w:tr>
      <w:tr w:rsidR="009A782C">
        <w:trPr>
          <w:trHeight w:val="365"/>
          <w:jc w:val="center"/>
        </w:trPr>
        <w:tc>
          <w:tcPr>
            <w:tcW w:w="1266" w:type="dxa"/>
            <w:vMerge/>
            <w:vAlign w:val="center"/>
          </w:tcPr>
          <w:p w:rsidR="009A782C" w:rsidRDefault="009A782C">
            <w:pPr>
              <w:spacing w:line="320" w:lineRule="exact"/>
              <w:jc w:val="center"/>
              <w:rPr>
                <w:rFonts w:ascii="仿宋_GB2312" w:eastAsia="仿宋_GB2312" w:hAnsi="仿宋_GB2312" w:cs="仿宋_GB2312"/>
                <w:sz w:val="24"/>
                <w:szCs w:val="24"/>
              </w:rPr>
            </w:pPr>
          </w:p>
        </w:tc>
        <w:tc>
          <w:tcPr>
            <w:tcW w:w="2746" w:type="dxa"/>
            <w:vAlign w:val="center"/>
          </w:tcPr>
          <w:p w:rsidR="009A782C" w:rsidRDefault="009A782C">
            <w:pPr>
              <w:spacing w:line="320" w:lineRule="exact"/>
              <w:jc w:val="center"/>
              <w:rPr>
                <w:rFonts w:ascii="仿宋_GB2312" w:eastAsia="仿宋_GB2312" w:hAnsi="仿宋_GB2312" w:cs="仿宋_GB2312"/>
                <w:sz w:val="24"/>
                <w:szCs w:val="24"/>
              </w:rPr>
            </w:pPr>
          </w:p>
        </w:tc>
        <w:tc>
          <w:tcPr>
            <w:tcW w:w="1620" w:type="dxa"/>
            <w:vAlign w:val="center"/>
          </w:tcPr>
          <w:p w:rsidR="009A782C" w:rsidRDefault="009A782C">
            <w:pPr>
              <w:spacing w:line="320" w:lineRule="exact"/>
              <w:jc w:val="center"/>
              <w:rPr>
                <w:rFonts w:ascii="仿宋_GB2312" w:eastAsia="仿宋_GB2312" w:hAnsi="仿宋_GB2312" w:cs="仿宋_GB2312"/>
                <w:sz w:val="24"/>
                <w:szCs w:val="24"/>
              </w:rPr>
            </w:pPr>
          </w:p>
        </w:tc>
        <w:tc>
          <w:tcPr>
            <w:tcW w:w="1410" w:type="dxa"/>
            <w:gridSpan w:val="2"/>
            <w:vAlign w:val="center"/>
          </w:tcPr>
          <w:p w:rsidR="009A782C" w:rsidRDefault="009A782C">
            <w:pPr>
              <w:spacing w:line="320" w:lineRule="exact"/>
              <w:jc w:val="center"/>
              <w:rPr>
                <w:rFonts w:ascii="仿宋_GB2312" w:eastAsia="仿宋_GB2312" w:hAnsi="仿宋_GB2312" w:cs="仿宋_GB2312"/>
                <w:sz w:val="24"/>
                <w:szCs w:val="24"/>
              </w:rPr>
            </w:pPr>
          </w:p>
        </w:tc>
        <w:tc>
          <w:tcPr>
            <w:tcW w:w="2665" w:type="dxa"/>
            <w:gridSpan w:val="2"/>
            <w:vAlign w:val="center"/>
          </w:tcPr>
          <w:p w:rsidR="009A782C" w:rsidRDefault="009A782C">
            <w:pPr>
              <w:spacing w:line="320" w:lineRule="exact"/>
              <w:jc w:val="center"/>
              <w:rPr>
                <w:rFonts w:ascii="仿宋_GB2312" w:eastAsia="仿宋_GB2312" w:hAnsi="仿宋_GB2312" w:cs="仿宋_GB2312"/>
                <w:sz w:val="24"/>
                <w:szCs w:val="24"/>
              </w:rPr>
            </w:pPr>
          </w:p>
        </w:tc>
      </w:tr>
      <w:tr w:rsidR="009A782C">
        <w:trPr>
          <w:trHeight w:val="362"/>
          <w:jc w:val="center"/>
        </w:trPr>
        <w:tc>
          <w:tcPr>
            <w:tcW w:w="1266" w:type="dxa"/>
            <w:vMerge/>
            <w:vAlign w:val="center"/>
          </w:tcPr>
          <w:p w:rsidR="009A782C" w:rsidRDefault="009A782C">
            <w:pPr>
              <w:spacing w:line="320" w:lineRule="exact"/>
              <w:jc w:val="center"/>
              <w:rPr>
                <w:rFonts w:ascii="仿宋_GB2312" w:eastAsia="仿宋_GB2312" w:hAnsi="仿宋_GB2312" w:cs="仿宋_GB2312"/>
                <w:sz w:val="24"/>
                <w:szCs w:val="24"/>
              </w:rPr>
            </w:pPr>
          </w:p>
        </w:tc>
        <w:tc>
          <w:tcPr>
            <w:tcW w:w="2746" w:type="dxa"/>
            <w:vAlign w:val="center"/>
          </w:tcPr>
          <w:p w:rsidR="009A782C" w:rsidRDefault="009A782C">
            <w:pPr>
              <w:spacing w:line="320" w:lineRule="exact"/>
              <w:jc w:val="center"/>
              <w:rPr>
                <w:rFonts w:ascii="仿宋_GB2312" w:eastAsia="仿宋_GB2312" w:hAnsi="仿宋_GB2312" w:cs="仿宋_GB2312"/>
                <w:sz w:val="24"/>
                <w:szCs w:val="24"/>
              </w:rPr>
            </w:pPr>
          </w:p>
        </w:tc>
        <w:tc>
          <w:tcPr>
            <w:tcW w:w="1620" w:type="dxa"/>
            <w:vAlign w:val="center"/>
          </w:tcPr>
          <w:p w:rsidR="009A782C" w:rsidRDefault="009A782C">
            <w:pPr>
              <w:spacing w:line="320" w:lineRule="exact"/>
              <w:jc w:val="center"/>
              <w:rPr>
                <w:rFonts w:ascii="仿宋_GB2312" w:eastAsia="仿宋_GB2312" w:hAnsi="仿宋_GB2312" w:cs="仿宋_GB2312"/>
                <w:sz w:val="24"/>
                <w:szCs w:val="24"/>
              </w:rPr>
            </w:pPr>
          </w:p>
        </w:tc>
        <w:tc>
          <w:tcPr>
            <w:tcW w:w="1410" w:type="dxa"/>
            <w:gridSpan w:val="2"/>
            <w:vAlign w:val="center"/>
          </w:tcPr>
          <w:p w:rsidR="009A782C" w:rsidRDefault="009A782C">
            <w:pPr>
              <w:spacing w:line="320" w:lineRule="exact"/>
              <w:jc w:val="center"/>
              <w:rPr>
                <w:rFonts w:ascii="仿宋_GB2312" w:eastAsia="仿宋_GB2312" w:hAnsi="仿宋_GB2312" w:cs="仿宋_GB2312"/>
                <w:sz w:val="24"/>
                <w:szCs w:val="24"/>
              </w:rPr>
            </w:pPr>
          </w:p>
        </w:tc>
        <w:tc>
          <w:tcPr>
            <w:tcW w:w="2665" w:type="dxa"/>
            <w:gridSpan w:val="2"/>
            <w:vAlign w:val="center"/>
          </w:tcPr>
          <w:p w:rsidR="009A782C" w:rsidRDefault="009A782C">
            <w:pPr>
              <w:spacing w:line="320" w:lineRule="exact"/>
              <w:jc w:val="center"/>
              <w:rPr>
                <w:rFonts w:ascii="仿宋_GB2312" w:eastAsia="仿宋_GB2312" w:hAnsi="仿宋_GB2312" w:cs="仿宋_GB2312"/>
                <w:sz w:val="24"/>
                <w:szCs w:val="24"/>
              </w:rPr>
            </w:pPr>
          </w:p>
        </w:tc>
      </w:tr>
      <w:tr w:rsidR="009A782C">
        <w:trPr>
          <w:trHeight w:val="362"/>
          <w:jc w:val="center"/>
        </w:trPr>
        <w:tc>
          <w:tcPr>
            <w:tcW w:w="1266" w:type="dxa"/>
            <w:vMerge/>
            <w:vAlign w:val="center"/>
          </w:tcPr>
          <w:p w:rsidR="009A782C" w:rsidRDefault="009A782C">
            <w:pPr>
              <w:spacing w:line="320" w:lineRule="exact"/>
              <w:jc w:val="center"/>
              <w:rPr>
                <w:rFonts w:ascii="仿宋_GB2312" w:eastAsia="仿宋_GB2312" w:hAnsi="仿宋_GB2312" w:cs="仿宋_GB2312"/>
                <w:sz w:val="24"/>
                <w:szCs w:val="24"/>
              </w:rPr>
            </w:pPr>
          </w:p>
        </w:tc>
        <w:tc>
          <w:tcPr>
            <w:tcW w:w="2746" w:type="dxa"/>
            <w:vAlign w:val="center"/>
          </w:tcPr>
          <w:p w:rsidR="009A782C" w:rsidRDefault="009A782C">
            <w:pPr>
              <w:spacing w:line="320" w:lineRule="exact"/>
              <w:jc w:val="center"/>
              <w:rPr>
                <w:rFonts w:ascii="仿宋_GB2312" w:eastAsia="仿宋_GB2312" w:hAnsi="仿宋_GB2312" w:cs="仿宋_GB2312"/>
                <w:sz w:val="24"/>
                <w:szCs w:val="24"/>
              </w:rPr>
            </w:pPr>
          </w:p>
        </w:tc>
        <w:tc>
          <w:tcPr>
            <w:tcW w:w="1620" w:type="dxa"/>
            <w:vAlign w:val="center"/>
          </w:tcPr>
          <w:p w:rsidR="009A782C" w:rsidRDefault="009A782C">
            <w:pPr>
              <w:spacing w:line="320" w:lineRule="exact"/>
              <w:jc w:val="center"/>
              <w:rPr>
                <w:rFonts w:ascii="仿宋_GB2312" w:eastAsia="仿宋_GB2312" w:hAnsi="仿宋_GB2312" w:cs="仿宋_GB2312"/>
                <w:sz w:val="24"/>
                <w:szCs w:val="24"/>
              </w:rPr>
            </w:pPr>
          </w:p>
        </w:tc>
        <w:tc>
          <w:tcPr>
            <w:tcW w:w="1410" w:type="dxa"/>
            <w:gridSpan w:val="2"/>
            <w:vAlign w:val="center"/>
          </w:tcPr>
          <w:p w:rsidR="009A782C" w:rsidRDefault="009A782C">
            <w:pPr>
              <w:spacing w:line="320" w:lineRule="exact"/>
              <w:jc w:val="center"/>
              <w:rPr>
                <w:rFonts w:ascii="仿宋_GB2312" w:eastAsia="仿宋_GB2312" w:hAnsi="仿宋_GB2312" w:cs="仿宋_GB2312"/>
                <w:sz w:val="24"/>
                <w:szCs w:val="24"/>
              </w:rPr>
            </w:pPr>
          </w:p>
        </w:tc>
        <w:tc>
          <w:tcPr>
            <w:tcW w:w="2665" w:type="dxa"/>
            <w:gridSpan w:val="2"/>
            <w:vAlign w:val="center"/>
          </w:tcPr>
          <w:p w:rsidR="009A782C" w:rsidRDefault="009A782C">
            <w:pPr>
              <w:spacing w:line="320" w:lineRule="exact"/>
              <w:jc w:val="center"/>
              <w:rPr>
                <w:rFonts w:ascii="仿宋_GB2312" w:eastAsia="仿宋_GB2312" w:hAnsi="仿宋_GB2312" w:cs="仿宋_GB2312"/>
                <w:sz w:val="24"/>
                <w:szCs w:val="24"/>
              </w:rPr>
            </w:pPr>
          </w:p>
        </w:tc>
      </w:tr>
      <w:tr w:rsidR="009A782C">
        <w:trPr>
          <w:trHeight w:val="362"/>
          <w:jc w:val="center"/>
        </w:trPr>
        <w:tc>
          <w:tcPr>
            <w:tcW w:w="1266" w:type="dxa"/>
            <w:vMerge/>
            <w:vAlign w:val="center"/>
          </w:tcPr>
          <w:p w:rsidR="009A782C" w:rsidRDefault="009A782C">
            <w:pPr>
              <w:spacing w:line="320" w:lineRule="exact"/>
              <w:jc w:val="center"/>
              <w:rPr>
                <w:rFonts w:ascii="仿宋_GB2312" w:eastAsia="仿宋_GB2312" w:hAnsi="仿宋_GB2312" w:cs="仿宋_GB2312"/>
                <w:sz w:val="24"/>
                <w:szCs w:val="24"/>
              </w:rPr>
            </w:pPr>
          </w:p>
        </w:tc>
        <w:tc>
          <w:tcPr>
            <w:tcW w:w="2746" w:type="dxa"/>
            <w:vAlign w:val="center"/>
          </w:tcPr>
          <w:p w:rsidR="009A782C" w:rsidRDefault="009A782C">
            <w:pPr>
              <w:spacing w:line="320" w:lineRule="exact"/>
              <w:jc w:val="center"/>
              <w:rPr>
                <w:rFonts w:ascii="仿宋_GB2312" w:eastAsia="仿宋_GB2312" w:hAnsi="仿宋_GB2312" w:cs="仿宋_GB2312"/>
                <w:sz w:val="24"/>
                <w:szCs w:val="24"/>
              </w:rPr>
            </w:pPr>
          </w:p>
        </w:tc>
        <w:tc>
          <w:tcPr>
            <w:tcW w:w="1620" w:type="dxa"/>
            <w:vAlign w:val="center"/>
          </w:tcPr>
          <w:p w:rsidR="009A782C" w:rsidRDefault="009A782C">
            <w:pPr>
              <w:spacing w:line="320" w:lineRule="exact"/>
              <w:jc w:val="center"/>
              <w:rPr>
                <w:rFonts w:ascii="仿宋_GB2312" w:eastAsia="仿宋_GB2312" w:hAnsi="仿宋_GB2312" w:cs="仿宋_GB2312"/>
                <w:sz w:val="24"/>
                <w:szCs w:val="24"/>
              </w:rPr>
            </w:pPr>
          </w:p>
        </w:tc>
        <w:tc>
          <w:tcPr>
            <w:tcW w:w="1410" w:type="dxa"/>
            <w:gridSpan w:val="2"/>
            <w:vAlign w:val="center"/>
          </w:tcPr>
          <w:p w:rsidR="009A782C" w:rsidRDefault="009A782C">
            <w:pPr>
              <w:spacing w:line="320" w:lineRule="exact"/>
              <w:jc w:val="center"/>
              <w:rPr>
                <w:rFonts w:ascii="仿宋_GB2312" w:eastAsia="仿宋_GB2312" w:hAnsi="仿宋_GB2312" w:cs="仿宋_GB2312"/>
                <w:sz w:val="24"/>
                <w:szCs w:val="24"/>
              </w:rPr>
            </w:pPr>
          </w:p>
        </w:tc>
        <w:tc>
          <w:tcPr>
            <w:tcW w:w="2665" w:type="dxa"/>
            <w:gridSpan w:val="2"/>
            <w:vAlign w:val="center"/>
          </w:tcPr>
          <w:p w:rsidR="009A782C" w:rsidRDefault="009A782C">
            <w:pPr>
              <w:spacing w:line="320" w:lineRule="exact"/>
              <w:jc w:val="center"/>
              <w:rPr>
                <w:rFonts w:ascii="仿宋_GB2312" w:eastAsia="仿宋_GB2312" w:hAnsi="仿宋_GB2312" w:cs="仿宋_GB2312"/>
                <w:sz w:val="24"/>
                <w:szCs w:val="24"/>
              </w:rPr>
            </w:pPr>
          </w:p>
        </w:tc>
      </w:tr>
      <w:tr w:rsidR="009A782C">
        <w:trPr>
          <w:trHeight w:val="362"/>
          <w:jc w:val="center"/>
        </w:trPr>
        <w:tc>
          <w:tcPr>
            <w:tcW w:w="1266" w:type="dxa"/>
            <w:vMerge/>
            <w:vAlign w:val="center"/>
          </w:tcPr>
          <w:p w:rsidR="009A782C" w:rsidRDefault="009A782C">
            <w:pPr>
              <w:spacing w:line="320" w:lineRule="exact"/>
              <w:jc w:val="center"/>
              <w:rPr>
                <w:rFonts w:ascii="仿宋_GB2312" w:eastAsia="仿宋_GB2312" w:hAnsi="仿宋_GB2312" w:cs="仿宋_GB2312"/>
                <w:sz w:val="24"/>
                <w:szCs w:val="24"/>
              </w:rPr>
            </w:pPr>
          </w:p>
        </w:tc>
        <w:tc>
          <w:tcPr>
            <w:tcW w:w="5776" w:type="dxa"/>
            <w:gridSpan w:val="4"/>
            <w:vAlign w:val="center"/>
          </w:tcPr>
          <w:p w:rsidR="009A782C" w:rsidRDefault="00C844CB">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合计</w:t>
            </w:r>
          </w:p>
        </w:tc>
        <w:tc>
          <w:tcPr>
            <w:tcW w:w="2665" w:type="dxa"/>
            <w:gridSpan w:val="2"/>
            <w:vAlign w:val="center"/>
          </w:tcPr>
          <w:p w:rsidR="009A782C" w:rsidRDefault="009A782C">
            <w:pPr>
              <w:spacing w:line="320" w:lineRule="exact"/>
              <w:jc w:val="center"/>
              <w:rPr>
                <w:rFonts w:ascii="仿宋_GB2312" w:eastAsia="仿宋_GB2312" w:hAnsi="仿宋_GB2312" w:cs="仿宋_GB2312"/>
                <w:sz w:val="24"/>
                <w:szCs w:val="24"/>
              </w:rPr>
            </w:pPr>
          </w:p>
        </w:tc>
      </w:tr>
      <w:tr w:rsidR="009A782C">
        <w:trPr>
          <w:trHeight w:val="430"/>
          <w:jc w:val="center"/>
        </w:trPr>
        <w:tc>
          <w:tcPr>
            <w:tcW w:w="4012" w:type="dxa"/>
            <w:gridSpan w:val="2"/>
            <w:vAlign w:val="center"/>
          </w:tcPr>
          <w:p w:rsidR="009A782C" w:rsidRDefault="00C844CB">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外债额度共享后母公司</w:t>
            </w:r>
          </w:p>
          <w:p w:rsidR="009A782C" w:rsidRDefault="00C844CB">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剩余外债额度</w:t>
            </w:r>
          </w:p>
        </w:tc>
        <w:tc>
          <w:tcPr>
            <w:tcW w:w="5695" w:type="dxa"/>
            <w:gridSpan w:val="5"/>
            <w:vAlign w:val="center"/>
          </w:tcPr>
          <w:p w:rsidR="009A782C" w:rsidRDefault="009A782C">
            <w:pPr>
              <w:spacing w:line="320" w:lineRule="exact"/>
              <w:jc w:val="center"/>
              <w:rPr>
                <w:rFonts w:ascii="仿宋_GB2312" w:eastAsia="仿宋_GB2312" w:hAnsi="仿宋_GB2312" w:cs="仿宋_GB2312"/>
                <w:sz w:val="24"/>
                <w:szCs w:val="24"/>
              </w:rPr>
            </w:pPr>
          </w:p>
        </w:tc>
      </w:tr>
    </w:tbl>
    <w:p w:rsidR="009A782C" w:rsidRDefault="00C844CB">
      <w:pPr>
        <w:ind w:firstLine="624"/>
        <w:rPr>
          <w:rFonts w:ascii="仿宋_GB2312" w:eastAsia="仿宋_GB2312" w:hAnsi="仿宋_GB2312" w:cs="仿宋_GB2312"/>
          <w:sz w:val="28"/>
          <w:szCs w:val="28"/>
        </w:rPr>
      </w:pPr>
      <w:r>
        <w:rPr>
          <w:rFonts w:ascii="仿宋_GB2312" w:eastAsia="仿宋_GB2312" w:hAnsi="仿宋_GB2312" w:cs="仿宋_GB2312" w:hint="eastAsia"/>
          <w:sz w:val="28"/>
          <w:szCs w:val="28"/>
        </w:rPr>
        <w:t>经办人：</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复核人：</w:t>
      </w:r>
    </w:p>
    <w:p w:rsidR="009A782C" w:rsidRDefault="009A782C" w:rsidP="00CB150D">
      <w:pPr>
        <w:pStyle w:val="BodyTextFirstIndent21"/>
        <w:ind w:left="493" w:hanging="73"/>
        <w:rPr>
          <w:rFonts w:ascii="仿宋_GB2312" w:eastAsia="仿宋_GB2312" w:hAnsi="仿宋_GB2312" w:cs="仿宋_GB2312"/>
          <w:sz w:val="28"/>
          <w:szCs w:val="28"/>
        </w:rPr>
      </w:pPr>
    </w:p>
    <w:p w:rsidR="009A782C" w:rsidRDefault="00C844CB">
      <w:pPr>
        <w:wordWrap w:val="0"/>
        <w:adjustRightInd w:val="0"/>
        <w:snapToGrid w:val="0"/>
        <w:spacing w:line="324" w:lineRule="auto"/>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国家外汇管理局</w:t>
      </w:r>
      <w:r w:rsidR="00CB150D" w:rsidRPr="00CB150D">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分局</w:t>
      </w:r>
      <w:r>
        <w:rPr>
          <w:rFonts w:ascii="仿宋_GB2312" w:eastAsia="仿宋_GB2312" w:hAnsi="仿宋_GB2312" w:cs="仿宋_GB2312" w:hint="eastAsia"/>
          <w:sz w:val="32"/>
          <w:szCs w:val="32"/>
        </w:rPr>
        <w:t xml:space="preserve">  </w:t>
      </w:r>
    </w:p>
    <w:p w:rsidR="009A782C" w:rsidRDefault="00C844CB">
      <w:pPr>
        <w:wordWrap w:val="0"/>
        <w:adjustRightInd w:val="0"/>
        <w:snapToGrid w:val="0"/>
        <w:spacing w:line="324" w:lineRule="auto"/>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（资本项目行政许可专用章）</w:t>
      </w:r>
    </w:p>
    <w:p w:rsidR="009A782C" w:rsidRDefault="00C844CB">
      <w:pPr>
        <w:wordWrap w:val="0"/>
        <w:adjustRightInd w:val="0"/>
        <w:snapToGrid w:val="0"/>
        <w:spacing w:line="324" w:lineRule="auto"/>
        <w:ind w:firstLineChars="200" w:firstLine="640"/>
        <w:jc w:val="right"/>
        <w:rPr>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 xml:space="preserve">      </w:t>
      </w:r>
    </w:p>
    <w:sectPr w:rsidR="009A782C" w:rsidSect="009A782C">
      <w:footerReference w:type="default" r:id="rId9"/>
      <w:pgSz w:w="11906" w:h="16838"/>
      <w:pgMar w:top="1701" w:right="1474" w:bottom="1474" w:left="1474" w:header="851" w:footer="992" w:gutter="0"/>
      <w:cols w:space="720"/>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4CB" w:rsidRDefault="00C844CB" w:rsidP="009A782C">
      <w:r>
        <w:separator/>
      </w:r>
    </w:p>
  </w:endnote>
  <w:endnote w:type="continuationSeparator" w:id="1">
    <w:p w:rsidR="00C844CB" w:rsidRDefault="00C844CB" w:rsidP="009A78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82C" w:rsidRDefault="009A782C">
    <w:pPr>
      <w:pStyle w:val="a5"/>
      <w:jc w:val="center"/>
    </w:pPr>
    <w:r>
      <w:pict>
        <v:shapetype id="_x0000_t202" coordsize="21600,21600" o:spt="202" path="m,l,21600r21600,l21600,xe">
          <v:stroke joinstyle="miter"/>
          <v:path gradientshapeok="t" o:connecttype="rect"/>
        </v:shapetype>
        <v:shape id="文本框 2" o:spid="_x0000_s2050" type="#_x0000_t202" style="position:absolute;left:0;text-align:left;margin-left:0;margin-top:0;width:2in;height:2in;z-index:2;mso-wrap-style:none;mso-position-horizontal:center;mso-position-horizontal-relative:margin" o:preferrelative="t" filled="f" stroked="f">
          <v:textbox style="mso-fit-shape-to-text:t" inset="0,0,0,0">
            <w:txbxContent>
              <w:p w:rsidR="009A782C" w:rsidRDefault="009A782C">
                <w:pPr>
                  <w:pStyle w:val="a5"/>
                  <w:jc w:val="center"/>
                </w:pPr>
                <w:r>
                  <w:fldChar w:fldCharType="begin"/>
                </w:r>
                <w:r w:rsidR="00C844CB">
                  <w:instrText xml:space="preserve"> PAGE   \* MERGEFORMAT </w:instrText>
                </w:r>
                <w:r>
                  <w:fldChar w:fldCharType="separate"/>
                </w:r>
                <w:r w:rsidR="00CB150D">
                  <w:rPr>
                    <w:noProof/>
                  </w:rPr>
                  <w:t>4</w:t>
                </w:r>
                <w:r>
                  <w:fldChar w:fldCharType="end"/>
                </w:r>
              </w:p>
            </w:txbxContent>
          </v:textbox>
          <w10:wrap anchorx="margin"/>
        </v:shape>
      </w:pict>
    </w:r>
  </w:p>
  <w:p w:rsidR="009A782C" w:rsidRDefault="009A782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82C" w:rsidRDefault="009A782C">
    <w:pPr>
      <w:pStyle w:val="a5"/>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1;mso-wrap-style:none;mso-position-horizontal:center;mso-position-horizontal-relative:margin" o:preferrelative="t" filled="f" stroked="f">
          <v:textbox style="mso-fit-shape-to-text:t" inset="0,0,0,0">
            <w:txbxContent>
              <w:p w:rsidR="009A782C" w:rsidRDefault="009A782C">
                <w:pPr>
                  <w:snapToGrid w:val="0"/>
                  <w:rPr>
                    <w:sz w:val="18"/>
                  </w:rPr>
                </w:pPr>
                <w:r>
                  <w:rPr>
                    <w:rFonts w:hint="eastAsia"/>
                    <w:sz w:val="18"/>
                  </w:rPr>
                  <w:fldChar w:fldCharType="begin"/>
                </w:r>
                <w:r w:rsidR="00C844CB">
                  <w:rPr>
                    <w:rFonts w:hint="eastAsia"/>
                    <w:sz w:val="18"/>
                  </w:rPr>
                  <w:instrText xml:space="preserve"> PAGE  \* MERGEFORMAT </w:instrText>
                </w:r>
                <w:r>
                  <w:rPr>
                    <w:rFonts w:hint="eastAsia"/>
                    <w:sz w:val="18"/>
                  </w:rPr>
                  <w:fldChar w:fldCharType="separate"/>
                </w:r>
                <w:r w:rsidR="00CB150D">
                  <w:rPr>
                    <w:noProof/>
                    <w:sz w:val="18"/>
                  </w:rPr>
                  <w:t>25</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4CB" w:rsidRDefault="00C844CB" w:rsidP="009A782C">
      <w:r>
        <w:separator/>
      </w:r>
    </w:p>
  </w:footnote>
  <w:footnote w:type="continuationSeparator" w:id="1">
    <w:p w:rsidR="00C844CB" w:rsidRDefault="00C844CB" w:rsidP="009A78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B9EA7F4"/>
    <w:multiLevelType w:val="singleLevel"/>
    <w:tmpl w:val="FB9EA7F4"/>
    <w:lvl w:ilvl="0">
      <w:start w:val="1"/>
      <w:numFmt w:val="chineseCounting"/>
      <w:suff w:val="nothing"/>
      <w:lvlText w:val="（%1）"/>
      <w:lvlJc w:val="left"/>
      <w:rPr>
        <w:rFonts w:hint="eastAsia"/>
      </w:rPr>
    </w:lvl>
  </w:abstractNum>
  <w:abstractNum w:abstractNumId="1">
    <w:nsid w:val="2DA48C12"/>
    <w:multiLevelType w:val="singleLevel"/>
    <w:tmpl w:val="2DA48C12"/>
    <w:lvl w:ilvl="0">
      <w:start w:val="1"/>
      <w:numFmt w:val="chineseCounting"/>
      <w:suff w:val="space"/>
      <w:lvlText w:val="第%1条"/>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oNotTrackMoves/>
  <w:documentProtection w:edit="forms" w:enforcement="0"/>
  <w:defaultTabStop w:val="420"/>
  <w:drawingGridVerticalSpacing w:val="159"/>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KGWebUrl" w:val="http://11.54.19.205/seeyon/officeservlet"/>
  </w:docVars>
  <w:rsids>
    <w:rsidRoot w:val="00357031"/>
    <w:rsid w:val="00020D1C"/>
    <w:rsid w:val="0005571C"/>
    <w:rsid w:val="000C07B8"/>
    <w:rsid w:val="001D43C7"/>
    <w:rsid w:val="002F1A8A"/>
    <w:rsid w:val="00327C9F"/>
    <w:rsid w:val="00331EE4"/>
    <w:rsid w:val="00344E6C"/>
    <w:rsid w:val="00357031"/>
    <w:rsid w:val="003667AC"/>
    <w:rsid w:val="00380473"/>
    <w:rsid w:val="003975BA"/>
    <w:rsid w:val="003B5EFA"/>
    <w:rsid w:val="003D4BAC"/>
    <w:rsid w:val="003E1D46"/>
    <w:rsid w:val="00425739"/>
    <w:rsid w:val="0046059D"/>
    <w:rsid w:val="00460E1A"/>
    <w:rsid w:val="004B2460"/>
    <w:rsid w:val="004C3D7F"/>
    <w:rsid w:val="004F6B77"/>
    <w:rsid w:val="005353F8"/>
    <w:rsid w:val="00564882"/>
    <w:rsid w:val="005949C3"/>
    <w:rsid w:val="005D05B4"/>
    <w:rsid w:val="005F7238"/>
    <w:rsid w:val="0060663E"/>
    <w:rsid w:val="0060733E"/>
    <w:rsid w:val="00615A9B"/>
    <w:rsid w:val="006A5D6B"/>
    <w:rsid w:val="006B7587"/>
    <w:rsid w:val="007360C9"/>
    <w:rsid w:val="007D3CCA"/>
    <w:rsid w:val="007F3B09"/>
    <w:rsid w:val="00822E20"/>
    <w:rsid w:val="0083190E"/>
    <w:rsid w:val="00861645"/>
    <w:rsid w:val="00873DBA"/>
    <w:rsid w:val="00893DA8"/>
    <w:rsid w:val="008E5F5F"/>
    <w:rsid w:val="0090325A"/>
    <w:rsid w:val="00912B72"/>
    <w:rsid w:val="0092049D"/>
    <w:rsid w:val="00937A69"/>
    <w:rsid w:val="0095152D"/>
    <w:rsid w:val="0095732E"/>
    <w:rsid w:val="00980D89"/>
    <w:rsid w:val="009A782C"/>
    <w:rsid w:val="00A02B8F"/>
    <w:rsid w:val="00A20D42"/>
    <w:rsid w:val="00B133FB"/>
    <w:rsid w:val="00B2474D"/>
    <w:rsid w:val="00B360B5"/>
    <w:rsid w:val="00BC2ECE"/>
    <w:rsid w:val="00C2402E"/>
    <w:rsid w:val="00C844CB"/>
    <w:rsid w:val="00CB01B6"/>
    <w:rsid w:val="00CB150D"/>
    <w:rsid w:val="00CB41E2"/>
    <w:rsid w:val="00CD1389"/>
    <w:rsid w:val="00CE53FE"/>
    <w:rsid w:val="00D43010"/>
    <w:rsid w:val="00D45D6F"/>
    <w:rsid w:val="00D711D7"/>
    <w:rsid w:val="00D96C5C"/>
    <w:rsid w:val="00DA25CE"/>
    <w:rsid w:val="00DA4742"/>
    <w:rsid w:val="00DB5BED"/>
    <w:rsid w:val="00DC5E69"/>
    <w:rsid w:val="00E01738"/>
    <w:rsid w:val="00E42057"/>
    <w:rsid w:val="00E50E37"/>
    <w:rsid w:val="00E811D3"/>
    <w:rsid w:val="00E867AB"/>
    <w:rsid w:val="00EA5437"/>
    <w:rsid w:val="00ED4A6C"/>
    <w:rsid w:val="00F10009"/>
    <w:rsid w:val="00F5348C"/>
    <w:rsid w:val="00F61B52"/>
    <w:rsid w:val="00F741C7"/>
    <w:rsid w:val="00F87D11"/>
    <w:rsid w:val="00FB5CB4"/>
    <w:rsid w:val="00FC0900"/>
    <w:rsid w:val="00FC501B"/>
    <w:rsid w:val="00FE0F6C"/>
    <w:rsid w:val="07065970"/>
    <w:rsid w:val="07AF7FE0"/>
    <w:rsid w:val="17755232"/>
    <w:rsid w:val="22A5227B"/>
    <w:rsid w:val="23461425"/>
    <w:rsid w:val="267A78D4"/>
    <w:rsid w:val="281F38C4"/>
    <w:rsid w:val="29B72068"/>
    <w:rsid w:val="2C9E12EE"/>
    <w:rsid w:val="378D0E51"/>
    <w:rsid w:val="3F6B0160"/>
    <w:rsid w:val="41EF337C"/>
    <w:rsid w:val="47E02D0C"/>
    <w:rsid w:val="4ED767F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unhideWhenUsed="0" w:qFormat="1"/>
    <w:lsdException w:name="annotation text" w:semiHidden="0" w:uiPriority="99"/>
    <w:lsdException w:name="header" w:semiHidden="0" w:uiPriority="99"/>
    <w:lsdException w:name="footer" w:semiHidden="0" w:uiPriority="99" w:qFormat="1"/>
    <w:lsdException w:name="caption" w:uiPriority="35" w:qFormat="1"/>
    <w:lsdException w:name="footnote reference" w:uiPriority="99" w:unhideWhenUsed="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82C"/>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9A782C"/>
    <w:pPr>
      <w:jc w:val="left"/>
    </w:pPr>
    <w:rPr>
      <w:rFonts w:cs="Times New Roman"/>
      <w:kern w:val="0"/>
      <w:sz w:val="20"/>
      <w:szCs w:val="20"/>
    </w:rPr>
  </w:style>
  <w:style w:type="paragraph" w:styleId="a4">
    <w:name w:val="Balloon Text"/>
    <w:basedOn w:val="a"/>
    <w:link w:val="Char0"/>
    <w:uiPriority w:val="99"/>
    <w:unhideWhenUsed/>
    <w:rsid w:val="009A782C"/>
    <w:rPr>
      <w:sz w:val="18"/>
      <w:szCs w:val="18"/>
    </w:rPr>
  </w:style>
  <w:style w:type="paragraph" w:styleId="a5">
    <w:name w:val="footer"/>
    <w:basedOn w:val="a"/>
    <w:link w:val="Char1"/>
    <w:uiPriority w:val="99"/>
    <w:unhideWhenUsed/>
    <w:qFormat/>
    <w:rsid w:val="009A782C"/>
    <w:pPr>
      <w:tabs>
        <w:tab w:val="center" w:pos="4153"/>
        <w:tab w:val="right" w:pos="8306"/>
      </w:tabs>
      <w:snapToGrid w:val="0"/>
      <w:jc w:val="left"/>
    </w:pPr>
    <w:rPr>
      <w:sz w:val="18"/>
      <w:szCs w:val="18"/>
    </w:rPr>
  </w:style>
  <w:style w:type="paragraph" w:styleId="a6">
    <w:name w:val="header"/>
    <w:basedOn w:val="a"/>
    <w:link w:val="Char2"/>
    <w:uiPriority w:val="99"/>
    <w:unhideWhenUsed/>
    <w:rsid w:val="009A782C"/>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qFormat/>
    <w:rsid w:val="009A782C"/>
    <w:pPr>
      <w:snapToGrid w:val="0"/>
      <w:jc w:val="left"/>
    </w:pPr>
    <w:rPr>
      <w:rFonts w:ascii="Times New Roman" w:hAnsi="Times New Roman" w:cs="Times New Roman"/>
      <w:sz w:val="18"/>
      <w:szCs w:val="20"/>
    </w:rPr>
  </w:style>
  <w:style w:type="character" w:styleId="a8">
    <w:name w:val="footnote reference"/>
    <w:basedOn w:val="a0"/>
    <w:uiPriority w:val="99"/>
    <w:semiHidden/>
    <w:qFormat/>
    <w:rsid w:val="009A782C"/>
    <w:rPr>
      <w:vertAlign w:val="superscript"/>
    </w:rPr>
  </w:style>
  <w:style w:type="paragraph" w:customStyle="1" w:styleId="BodyTextFirstIndent21">
    <w:name w:val="Body Text First Indent 21"/>
    <w:basedOn w:val="a"/>
    <w:uiPriority w:val="99"/>
    <w:qFormat/>
    <w:rsid w:val="009A782C"/>
    <w:pPr>
      <w:spacing w:after="120" w:line="340" w:lineRule="exact"/>
      <w:ind w:leftChars="200" w:left="420" w:right="-139" w:hangingChars="26" w:hanging="26"/>
    </w:pPr>
    <w:rPr>
      <w:rFonts w:ascii="华文中宋" w:eastAsia="华文中宋" w:hAnsi="华文中宋" w:cs="华文中宋"/>
      <w:sz w:val="24"/>
      <w:szCs w:val="20"/>
    </w:rPr>
  </w:style>
  <w:style w:type="paragraph" w:customStyle="1" w:styleId="p15">
    <w:name w:val="p15"/>
    <w:basedOn w:val="a"/>
    <w:uiPriority w:val="3"/>
    <w:qFormat/>
    <w:rsid w:val="009A782C"/>
    <w:pPr>
      <w:widowControl/>
      <w:ind w:firstLine="420"/>
    </w:pPr>
    <w:rPr>
      <w:rFonts w:cs="Times New Roman"/>
      <w:kern w:val="0"/>
      <w:szCs w:val="21"/>
    </w:rPr>
  </w:style>
  <w:style w:type="character" w:customStyle="1" w:styleId="Char2">
    <w:name w:val="页眉 Char"/>
    <w:basedOn w:val="a0"/>
    <w:link w:val="a6"/>
    <w:uiPriority w:val="99"/>
    <w:semiHidden/>
    <w:rsid w:val="009A782C"/>
    <w:rPr>
      <w:sz w:val="18"/>
      <w:szCs w:val="18"/>
    </w:rPr>
  </w:style>
  <w:style w:type="character" w:customStyle="1" w:styleId="Char1">
    <w:name w:val="页脚 Char"/>
    <w:basedOn w:val="a0"/>
    <w:link w:val="a5"/>
    <w:uiPriority w:val="99"/>
    <w:semiHidden/>
    <w:rsid w:val="009A782C"/>
    <w:rPr>
      <w:sz w:val="18"/>
      <w:szCs w:val="18"/>
    </w:rPr>
  </w:style>
  <w:style w:type="character" w:customStyle="1" w:styleId="Char3">
    <w:name w:val="脚注文本 Char"/>
    <w:basedOn w:val="a0"/>
    <w:link w:val="a7"/>
    <w:uiPriority w:val="99"/>
    <w:semiHidden/>
    <w:rsid w:val="009A782C"/>
    <w:rPr>
      <w:rFonts w:ascii="Times New Roman" w:eastAsia="宋体" w:hAnsi="Times New Roman" w:cs="Times New Roman"/>
      <w:sz w:val="18"/>
      <w:szCs w:val="20"/>
    </w:rPr>
  </w:style>
  <w:style w:type="character" w:customStyle="1" w:styleId="font01">
    <w:name w:val="font01"/>
    <w:basedOn w:val="a0"/>
    <w:qFormat/>
    <w:rsid w:val="009A782C"/>
    <w:rPr>
      <w:rFonts w:ascii="宋体" w:eastAsia="宋体" w:hAnsi="宋体" w:cs="宋体" w:hint="eastAsia"/>
      <w:color w:val="FF0000"/>
      <w:sz w:val="20"/>
      <w:szCs w:val="20"/>
      <w:u w:val="none"/>
    </w:rPr>
  </w:style>
  <w:style w:type="character" w:customStyle="1" w:styleId="Char">
    <w:name w:val="批注文字 Char"/>
    <w:basedOn w:val="a0"/>
    <w:link w:val="a3"/>
    <w:uiPriority w:val="99"/>
    <w:rsid w:val="009A782C"/>
    <w:rPr>
      <w:rFonts w:ascii="Calibri" w:eastAsia="宋体" w:hAnsi="Calibri" w:cs="Times New Roman"/>
      <w:kern w:val="0"/>
      <w:sz w:val="20"/>
      <w:szCs w:val="20"/>
    </w:rPr>
  </w:style>
  <w:style w:type="character" w:customStyle="1" w:styleId="font11">
    <w:name w:val="font11"/>
    <w:basedOn w:val="a0"/>
    <w:qFormat/>
    <w:rsid w:val="009A782C"/>
    <w:rPr>
      <w:rFonts w:ascii="宋体" w:eastAsia="宋体" w:hAnsi="宋体" w:cs="宋体" w:hint="eastAsia"/>
      <w:color w:val="000000"/>
      <w:sz w:val="20"/>
      <w:szCs w:val="20"/>
      <w:u w:val="none"/>
    </w:rPr>
  </w:style>
  <w:style w:type="character" w:customStyle="1" w:styleId="Char0">
    <w:name w:val="批注框文本 Char"/>
    <w:basedOn w:val="a0"/>
    <w:link w:val="a4"/>
    <w:uiPriority w:val="99"/>
    <w:semiHidden/>
    <w:rsid w:val="009A782C"/>
    <w:rPr>
      <w:rFonts w:ascii="Calibri" w:eastAsia="宋体" w:hAnsi="Calibri" w:cs="黑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1714</Words>
  <Characters>9772</Characters>
  <Application>Microsoft Office Word</Application>
  <DocSecurity>0</DocSecurity>
  <Lines>81</Lines>
  <Paragraphs>22</Paragraphs>
  <ScaleCrop>false</ScaleCrop>
  <Company/>
  <LinksUpToDate>false</LinksUpToDate>
  <CharactersWithSpaces>11464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李海林</dc:creator>
  <cp:lastModifiedBy>李海林</cp:lastModifiedBy>
  <cp:revision>1</cp:revision>
  <dcterms:created xsi:type="dcterms:W3CDTF">2024-01-12T06:59:00Z</dcterms:created>
  <dcterms:modified xsi:type="dcterms:W3CDTF">2024-03-01T02:07:00Z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