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编号：57014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“保险、证券公司等非银行金融机构外汇业务市场准入、退出审批”行政审批服务指南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贵州省分局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headerReference r:id="rId6" w:type="first"/>
          <w:footerReference r:id="rId9" w:type="first"/>
          <w:headerReference r:id="rId4" w:type="default"/>
          <w:footerReference r:id="rId7" w:type="default"/>
          <w:headerReference r:id="rId5" w:type="even"/>
          <w:footerReference r:id="rId8" w:type="even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adjustRightIn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项目名称：保险、证券公司等非银行金融机构外汇业务市场准入、退出审批；</w:t>
      </w:r>
    </w:p>
    <w:p>
      <w:pPr>
        <w:adjustRightIn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项目编号：57014；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本指南适用于“保险、证券公司等非银行金融机构外汇业务市场准入、退出审批”的申请和办理。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。</w:t>
      </w:r>
    </w:p>
    <w:p>
      <w:pPr>
        <w:adjustRightIn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四、保险机构外汇业务市场准入审批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国家外汇管理局关于进一步促进保险公司资本金结汇便利化的通知》（汇发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〔2019〕17号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《国家外汇管理局关于印发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〈经常项目外汇业务指引（2020年版）〉的通知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》（汇发</w:t>
      </w:r>
      <w:r>
        <w:rPr>
          <w:rFonts w:hint="eastAsia" w:ascii="仿宋_GB2312" w:hAnsi="Times New Roman" w:eastAsia="仿宋_GB2312" w:cs="Times New Roman"/>
          <w:sz w:val="30"/>
          <w:szCs w:val="30"/>
        </w:rPr>
        <w:t>〔2020〕14号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）。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申请人注册所在地国家外汇管理局分局</w:t>
      </w:r>
      <w:r>
        <w:rPr>
          <w:rFonts w:ascii="Times New Roman" w:hAnsi="Times New Roman" w:cs="Times New Roman"/>
          <w:sz w:val="30"/>
          <w:szCs w:val="30"/>
        </w:rPr>
        <w:t>（</w:t>
      </w:r>
      <w:r>
        <w:rPr>
          <w:rFonts w:ascii="Times New Roman" w:hAnsi="Times New Roman" w:eastAsia="仿宋_GB2312" w:cs="Times New Roman"/>
          <w:sz w:val="30"/>
          <w:szCs w:val="30"/>
        </w:rPr>
        <w:t>外汇管理部</w:t>
      </w:r>
      <w:r>
        <w:rPr>
          <w:rFonts w:ascii="Times New Roman" w:hAnsi="Times New Roman" w:cs="Times New Roman"/>
          <w:sz w:val="30"/>
          <w:szCs w:val="30"/>
        </w:rPr>
        <w:t>）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申请人为保险机构，应同时符合以下条件：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1.经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准在境内依法登记注册；</w:t>
      </w:r>
    </w:p>
    <w:p>
      <w:pPr>
        <w:pStyle w:val="20"/>
        <w:spacing w:line="360" w:lineRule="auto"/>
        <w:ind w:firstLine="600" w:firstLineChars="200"/>
        <w:rPr>
          <w:rFonts w:ascii="Times New Roman" w:hAnsi="Times New Roman" w:cs="Times New Roman"/>
          <w:color w:val="auto"/>
          <w:kern w:val="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color w:val="auto"/>
          <w:kern w:val="2"/>
          <w:sz w:val="30"/>
          <w:szCs w:val="30"/>
        </w:rPr>
        <w:t>具有经营保险业务资格；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3.具有完备的与外汇保险业务相应的内部管理制度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4.近三年未发生情节严重的违法违规行为、未受到保险行业主管部门或国家外汇管理局等部门行政处罚。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新办申请材料清单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061"/>
        <w:gridCol w:w="1418"/>
        <w:gridCol w:w="708"/>
        <w:gridCol w:w="851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列明申请事项及申请业务范围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保险行业主管部门颁发的经营保险业务资格证明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vAlign w:val="center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营业执照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自由贸易试验区内保险公司免于提供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与申请外汇保险业务相应的内部管理制度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1559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保险机构外汇业务市场审批</w:t>
      </w:r>
      <w:r>
        <w:rPr>
          <w:rFonts w:ascii="Times New Roman" w:hAnsi="Times New Roman" w:eastAsia="仿宋_GB2312" w:cs="Times New Roman"/>
          <w:sz w:val="30"/>
          <w:szCs w:val="30"/>
        </w:rPr>
        <w:t>变更申请材料清单</w:t>
      </w:r>
    </w:p>
    <w:tbl>
      <w:tblPr>
        <w:tblStyle w:val="18"/>
        <w:tblW w:w="86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2627"/>
        <w:gridCol w:w="1235"/>
        <w:gridCol w:w="457"/>
        <w:gridCol w:w="861"/>
        <w:gridCol w:w="2519"/>
        <w:gridCol w:w="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电子</w:t>
            </w:r>
          </w:p>
        </w:tc>
        <w:tc>
          <w:tcPr>
            <w:tcW w:w="251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57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6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书面申请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列明变更事项（变更外汇保险业务范围或机构名称）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变更外汇保险业务范围的，提交与变更后外汇保险业务范围相应的内部管理制度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包括但不限于业务操作流程、资金管理和数据报送等内容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627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变更机构名称的，提交保险行业主管部门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核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准其名称变更的文件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、保险行业主管部门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颁发的变更后经营保险业务资格证明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、变更后的营业执照</w:t>
            </w: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加盖企业公章的复印件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251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自营业执照变更之日起20个工作日内提交</w:t>
            </w:r>
          </w:p>
        </w:tc>
        <w:tc>
          <w:tcPr>
            <w:tcW w:w="457" w:type="dxa"/>
            <w:vAlign w:val="top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申请人可通过国家外汇管理局分支局窗口提交材料。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  <w:r>
        <w:rPr>
          <w:rFonts w:ascii="Times New Roman" w:hAnsi="Times New Roman" w:eastAsia="仿宋_GB2312" w:cs="Times New Roman"/>
          <w:sz w:val="30"/>
          <w:szCs w:val="30"/>
        </w:rPr>
        <w:t>受理的，出具受理通知书，审核作出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准或者不予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准的决定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4.予以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准的，向申请人出具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准文件；不予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准的，做出不予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准的行政许可书面决定并说明理由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一般程序：申请、受理、审查、决定、出具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针对新办、变更申请，出具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准文件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（十五）咨询途径、监督和投诉、公开查询等由所在地分局（外汇管理部）办理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向国家外汇管理局咨询、监督投诉、公开查询等可通过国家外汇管理局官方互联网站公众交流栏目进行，网址为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向各地外汇局进行咨询、办理进程查询、监督和投诉等可通过各地外汇局官方网站的相应栏目进行。网址可通过</w:t>
      </w:r>
      <w:r>
        <w:fldChar w:fldCharType="begin"/>
      </w:r>
      <w:r>
        <w:instrText xml:space="preserve">HYPERLINK "http://www.safe.gov.cn/" </w:instrText>
      </w:r>
      <w:r>
        <w:fldChar w:fldCharType="separate"/>
      </w:r>
      <w:r>
        <w:rPr>
          <w:rStyle w:val="14"/>
          <w:rFonts w:ascii="Times New Roman" w:hAnsi="Times New Roman" w:eastAsia="仿宋_GB2312" w:cs="Times New Roman"/>
          <w:color w:val="auto"/>
          <w:sz w:val="30"/>
          <w:szCs w:val="30"/>
        </w:rPr>
        <w:t>www.safe.gov.cn</w:t>
      </w:r>
      <w: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</w:rPr>
        <w:t>进行链接，也可通过外汇局官方互联网站上公布的电话进行。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前审后批。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（十七）办公地址和时间</w:t>
      </w:r>
    </w:p>
    <w:tbl>
      <w:tblPr>
        <w:tblStyle w:val="17"/>
        <w:tblW w:w="7335" w:type="dxa"/>
        <w:tblInd w:w="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34"/>
        <w:gridCol w:w="1923"/>
        <w:gridCol w:w="1559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0" w:hRule="atLeast"/>
        </w:trPr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对外服务时间（工作日）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75" w:hRule="atLeast"/>
        </w:trPr>
        <w:tc>
          <w:tcPr>
            <w:tcW w:w="16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国家外汇管理局贵州省分局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贵阳市南明区宝山北路2号人民银行贵阳中心支行1109室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8:30-11:30 14:30-17:30</w:t>
            </w:r>
          </w:p>
        </w:tc>
        <w:tc>
          <w:tcPr>
            <w:tcW w:w="221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0851-85650760</w:t>
            </w: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（十八）申请材料示范文本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XX</w:t>
      </w:r>
      <w:r>
        <w:rPr>
          <w:rFonts w:hint="eastAsia" w:ascii="Times New Roman" w:hAnsi="Times New Roman" w:eastAsia="黑体" w:cs="Times New Roman"/>
          <w:sz w:val="30"/>
          <w:szCs w:val="30"/>
        </w:rPr>
        <w:t>保险公司关于经营外汇保险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0"/>
          <w:szCs w:val="30"/>
        </w:rPr>
        <w:t>业务的申请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 xml:space="preserve">我公司成立于XXXX年，注册资金XX万元，注册地址为XX地（公司基本情况介绍）。因公司业务发展的需要，拟申请经营外汇保险业务，具体情况如下： 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具体情况介绍（如拟申请经营外汇保险业务的范围、公司经营情况、相关内部管理制度等）</w:t>
      </w: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ind w:right="300"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XX保险公司关于变更外汇保险业务范围（或机构名称）的申请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国家外汇管理局XX分局：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我公司成立于XXXX年，注册资本XX万元，注册地址为XX地（公司基本情况介绍）。我公司于XXXX年X月X日取得经营外汇保险业务资格，现由于XX原因，拟申请变更外汇保险业务范围（或机构名称），具体情况如下：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具体情况说明（如目前经营外汇保险业务的范围、公司经营情况、变更外汇保险业务范围（或机构名称）的原因及具体情况等）</w:t>
      </w:r>
    </w:p>
    <w:p>
      <w:pPr>
        <w:adjustRightInd w:val="0"/>
        <w:snapToGrid w:val="0"/>
        <w:spacing w:line="360" w:lineRule="auto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 w:firstLineChars="200"/>
        <w:jc w:val="right"/>
        <w:outlineLvl w:val="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XX保险公司</w:t>
      </w:r>
    </w:p>
    <w:p>
      <w:pPr>
        <w:adjustRightInd w:val="0"/>
        <w:snapToGrid w:val="0"/>
        <w:spacing w:line="360" w:lineRule="auto"/>
        <w:ind w:firstLine="600" w:firstLineChars="200"/>
        <w:jc w:val="right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XXXX年X月X日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ind w:firstLine="600" w:firstLineChars="200"/>
        <w:rPr>
          <w:rFonts w:ascii="Times New Roman" w:hAnsi="Times New Roman" w:eastAsia="黑体" w:cs="Times New Roman"/>
          <w:sz w:val="30"/>
          <w:szCs w:val="30"/>
          <w:highlight w:val="yellow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（十九）常见问题解答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hAnsi="Times New Roman" w:eastAsia="仿宋_GB2312" w:cs="Times New Roman"/>
          <w:sz w:val="30"/>
          <w:szCs w:val="30"/>
        </w:rPr>
        <w:t>1.</w:t>
      </w:r>
      <w:r>
        <w:rPr>
          <w:rFonts w:hint="eastAsia" w:ascii="仿宋_GB2312" w:eastAsia="仿宋_GB2312"/>
          <w:sz w:val="30"/>
          <w:szCs w:val="30"/>
        </w:rPr>
        <w:t>申请材料对内部管理制度有何要求？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与申请外汇保险业务相应的内部管理制度，包括但不限于业务操作流程、资金管理和数据报送等内容。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受理后几个工作日能办结？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按照法规要求，正式受理后，</w:t>
      </w:r>
      <w:r>
        <w:rPr>
          <w:rFonts w:ascii="Times New Roman" w:hAnsi="Times New Roman" w:eastAsia="仿宋_GB2312" w:cs="Times New Roman"/>
          <w:sz w:val="30"/>
          <w:szCs w:val="30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个工作日内可以批复。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（二十）常见错误示例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申请材料未明确业务范围，</w:t>
      </w:r>
      <w:r>
        <w:rPr>
          <w:rFonts w:hint="eastAsia" w:ascii="仿宋_GB2312" w:eastAsia="仿宋_GB2312"/>
          <w:sz w:val="30"/>
          <w:szCs w:val="30"/>
        </w:rPr>
        <w:t>内部管理制度缺少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操作流程、资金管理和数据报送等内容。</w:t>
      </w:r>
    </w:p>
    <w:p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附录一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7" o:spid="_x0000_s1027" type="#_x0000_t116" style="position:absolute;left:0;margin-left:-5pt;margin-top:3.4pt;height:58.6pt;width:123.35pt;rotation:0f;z-index:25167872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申请人现场提出书面申请，并提交材料</w:t>
                  </w:r>
                </w:p>
                <w:p/>
              </w:txbxContent>
            </v:textbox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7" o:spid="_x0000_s1028" type="#_x0000_t32" style="position:absolute;left:0;margin-left:20.45pt;margin-top:50.05pt;height:38.6pt;width:77.15pt;rotation:5898240f;z-index:25165824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黑体" w:cs="Times New Roman"/>
          <w:kern w:val="2"/>
          <w:sz w:val="30"/>
          <w:szCs w:val="30"/>
          <w:lang w:val="en-US" w:eastAsia="zh-CN" w:bidi="ar-SA"/>
        </w:rPr>
        <w:pict>
          <v:rect id="Rectangle 299" o:spid="_x0000_s1029" style="position:absolute;left:0;margin-left:273.6pt;margin-top:0.65pt;height:36pt;width:146.45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1" o:spid="_x0000_s1030" type="#_x0000_t32" style="position:absolute;left:0;flip:x;margin-left:41.45pt;margin-top:22.25pt;height:0.05pt;width:232.15pt;rotation:0f;z-index:25166233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0" o:spid="_x0000_s1031" type="#_x0000_t32" style="position:absolute;left:0;flip:y;margin-left:345.35pt;margin-top:6.8pt;height:44.75pt;width:0.05pt;rotation:0f;z-index:25166131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10" w:type="default"/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9" o:spid="_x0000_s1032" type="#_x0000_t34" style="position:absolute;left:0;margin-left:144pt;margin-top:89pt;height:0.05pt;width:25.95pt;rotation:0f;z-index:251660288;" o:ole="f" fillcolor="#FFFFFF" filled="t" o:preferrelative="t" stroked="t" coordorigin="0,0" coordsize="21600,21600" adj="10779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7" o:spid="_x0000_s1033" type="#_x0000_t32" style="position:absolute;left:0;margin-left:131.15pt;margin-top:50.6pt;height:25.65pt;width:51.25pt;rotation:589824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88" o:spid="_x0000_s1034" type="#_x0000_t32" style="position:absolute;left:0;margin-left:144.75pt;margin-top:37.45pt;height:0.05pt;width:25.2pt;rotation:0f;z-index:25165926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8" o:spid="_x0000_s1035" type="#_x0000_t32" style="position:absolute;left:0;margin-left:118.35pt;margin-top:67.4pt;height:0.05pt;width:25.65pt;rotation:0f;z-index:25166950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6" o:spid="_x0000_s1036" type="#_x0000_t110" style="position:absolute;left:0;margin-left:-39.15pt;margin-top:14.35pt;height:105.75pt;width:157.5pt;rotation:0f;z-index:251667456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接件并于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hint="eastAsia"/>
                    </w:rPr>
                    <w:t>个工作日作出是否受理决定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01" o:spid="_x0000_s1037" style="position:absolute;left:0;margin-left:170.7pt;margin-top:67.4pt;height:40.55pt;width:27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0" o:spid="_x0000_s1038" type="#_x0000_t109" style="position:absolute;left:0;margin-left:169.95pt;margin-top:20.35pt;height:29.35pt;width:272pt;rotation:0f;z-index:25167155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5" o:spid="_x0000_s1039" type="#_x0000_t32" style="position:absolute;left:0;margin-left:41.35pt;margin-top:181.35pt;height:0.05pt;width:41.1pt;rotation:0f;z-index:251666432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6" o:spid="_x0000_s1040" type="#_x0000_t32" style="position:absolute;left:0;flip:y;margin-left:236pt;margin-top:261.9pt;height:0.75pt;width:63.3pt;rotation:0f;z-index:251677696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5" o:spid="_x0000_s1041" type="#_x0000_t109" style="position:absolute;left:0;margin-left:299.3pt;margin-top:242.85pt;height:38.3pt;width:114.9pt;rotation:0f;z-index:251676672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2" o:spid="_x0000_s1042" type="#_x0000_t109" style="position:absolute;left:0;margin-left:82.6pt;margin-top:163.85pt;height:40.75pt;width:161.35pt;rotation:0f;z-index:25167360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依法应予受理的，出具受理单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4" o:spid="_x0000_s1043" type="#_x0000_t109" style="position:absolute;left:0;margin-left:82.6pt;margin-top:345.8pt;height:37.85pt;width:149.35pt;rotation:0f;z-index:25167564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予以许可的，向申请人出具核准书面决定</w:t>
                  </w:r>
                </w:p>
                <w:p/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3" o:spid="_x0000_s1044" type="#_x0000_t32" style="position:absolute;left:0;margin-left:159.3pt;margin-top:300.55pt;height:45.25pt;width:0.05pt;rotation:0f;z-index:251664384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303" o:spid="_x0000_s1045" type="#_x0000_t110" style="position:absolute;left:0;margin-left:82.8pt;margin-top:226.45pt;height:72.2pt;width:153.2pt;rotation:0f;z-index:251674624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</w:txbxContent>
            </v:textbox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2" o:spid="_x0000_s1046" type="#_x0000_t32" style="position:absolute;left:0;margin-left:160.1pt;margin-top:204.6pt;height:21.85pt;width:0.05pt;rotation:0f;z-index:251663360;" o:ole="f" fillcolor="#FFFFFF" filled="t" o:preferrelative="t" stroked="t" coordorigin="0,0" coordsize="21600,21600"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AutoShape 294" o:spid="_x0000_s1047" type="#_x0000_t32" style="position:absolute;left:0;margin-left:41.35pt;margin-top:111.05pt;height:69.55pt;width:0.05pt;rotation:0f;z-index:251665408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/>
    <w:sectPr>
      <w:footerReference r:id="rId11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75</w:t>
    </w:r>
    <w:r>
      <w:rPr>
        <w:lang w:val="zh-CN"/>
      </w:rPr>
      <w:fldChar w:fldCharType="end"/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16BA0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3109"/>
    <w:rsid w:val="000D1995"/>
    <w:rsid w:val="000D7478"/>
    <w:rsid w:val="000E1402"/>
    <w:rsid w:val="000E4759"/>
    <w:rsid w:val="000E5979"/>
    <w:rsid w:val="0012271F"/>
    <w:rsid w:val="00130519"/>
    <w:rsid w:val="001332EE"/>
    <w:rsid w:val="00135BEE"/>
    <w:rsid w:val="0014667A"/>
    <w:rsid w:val="00154B58"/>
    <w:rsid w:val="00157C64"/>
    <w:rsid w:val="00157E81"/>
    <w:rsid w:val="00170126"/>
    <w:rsid w:val="00177059"/>
    <w:rsid w:val="00181D3E"/>
    <w:rsid w:val="00186BC2"/>
    <w:rsid w:val="00190108"/>
    <w:rsid w:val="001930ED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5BA9"/>
    <w:rsid w:val="00217116"/>
    <w:rsid w:val="00231EED"/>
    <w:rsid w:val="00233841"/>
    <w:rsid w:val="002340B2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47A5"/>
    <w:rsid w:val="002B598D"/>
    <w:rsid w:val="002B61C1"/>
    <w:rsid w:val="002C6BC7"/>
    <w:rsid w:val="002E1323"/>
    <w:rsid w:val="002F3868"/>
    <w:rsid w:val="00302119"/>
    <w:rsid w:val="00302E87"/>
    <w:rsid w:val="00310261"/>
    <w:rsid w:val="0033051F"/>
    <w:rsid w:val="00343044"/>
    <w:rsid w:val="00344B01"/>
    <w:rsid w:val="00353AC4"/>
    <w:rsid w:val="00360FA0"/>
    <w:rsid w:val="003616B4"/>
    <w:rsid w:val="0037548C"/>
    <w:rsid w:val="003A57B2"/>
    <w:rsid w:val="003C7132"/>
    <w:rsid w:val="003D77A5"/>
    <w:rsid w:val="003E6BF6"/>
    <w:rsid w:val="003F221D"/>
    <w:rsid w:val="003F3097"/>
    <w:rsid w:val="00402AE8"/>
    <w:rsid w:val="004045BB"/>
    <w:rsid w:val="00405FE6"/>
    <w:rsid w:val="004104EB"/>
    <w:rsid w:val="004105BC"/>
    <w:rsid w:val="00421C27"/>
    <w:rsid w:val="00440A1F"/>
    <w:rsid w:val="00441FE6"/>
    <w:rsid w:val="00443603"/>
    <w:rsid w:val="00443604"/>
    <w:rsid w:val="004501EA"/>
    <w:rsid w:val="00460458"/>
    <w:rsid w:val="00463BFF"/>
    <w:rsid w:val="0046792D"/>
    <w:rsid w:val="004767DF"/>
    <w:rsid w:val="00481032"/>
    <w:rsid w:val="00493CCC"/>
    <w:rsid w:val="004A0218"/>
    <w:rsid w:val="004A7840"/>
    <w:rsid w:val="004B545A"/>
    <w:rsid w:val="004B7E80"/>
    <w:rsid w:val="004C1596"/>
    <w:rsid w:val="004C457E"/>
    <w:rsid w:val="004C48D5"/>
    <w:rsid w:val="004D03B7"/>
    <w:rsid w:val="004D1436"/>
    <w:rsid w:val="004D57AE"/>
    <w:rsid w:val="004D71C2"/>
    <w:rsid w:val="004E0A65"/>
    <w:rsid w:val="004F07E8"/>
    <w:rsid w:val="005056D4"/>
    <w:rsid w:val="005229D9"/>
    <w:rsid w:val="00526B2B"/>
    <w:rsid w:val="005362B0"/>
    <w:rsid w:val="00542447"/>
    <w:rsid w:val="00550714"/>
    <w:rsid w:val="00563796"/>
    <w:rsid w:val="00564312"/>
    <w:rsid w:val="005A2981"/>
    <w:rsid w:val="005C6937"/>
    <w:rsid w:val="005C7F02"/>
    <w:rsid w:val="005F0A86"/>
    <w:rsid w:val="005F144A"/>
    <w:rsid w:val="005F1C00"/>
    <w:rsid w:val="0061621E"/>
    <w:rsid w:val="0062366A"/>
    <w:rsid w:val="00630AA8"/>
    <w:rsid w:val="00630B2E"/>
    <w:rsid w:val="00643D2A"/>
    <w:rsid w:val="00650755"/>
    <w:rsid w:val="00664E11"/>
    <w:rsid w:val="00673432"/>
    <w:rsid w:val="00673B30"/>
    <w:rsid w:val="00696E5D"/>
    <w:rsid w:val="006B5B86"/>
    <w:rsid w:val="006C3F52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43ACD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088"/>
    <w:rsid w:val="00785F45"/>
    <w:rsid w:val="00795E87"/>
    <w:rsid w:val="007A2780"/>
    <w:rsid w:val="007A68EA"/>
    <w:rsid w:val="007B06FC"/>
    <w:rsid w:val="007B0FEF"/>
    <w:rsid w:val="007B2DB5"/>
    <w:rsid w:val="007C2C07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222A0"/>
    <w:rsid w:val="00836B5E"/>
    <w:rsid w:val="008471B6"/>
    <w:rsid w:val="0084737D"/>
    <w:rsid w:val="00851521"/>
    <w:rsid w:val="0085686A"/>
    <w:rsid w:val="00860878"/>
    <w:rsid w:val="008653AB"/>
    <w:rsid w:val="008731FF"/>
    <w:rsid w:val="008816CB"/>
    <w:rsid w:val="0088294A"/>
    <w:rsid w:val="0089282A"/>
    <w:rsid w:val="008A4538"/>
    <w:rsid w:val="008A704B"/>
    <w:rsid w:val="008B08D2"/>
    <w:rsid w:val="008B4EE5"/>
    <w:rsid w:val="008B5807"/>
    <w:rsid w:val="008D5FA0"/>
    <w:rsid w:val="008E04B5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80F02"/>
    <w:rsid w:val="00991B77"/>
    <w:rsid w:val="00997523"/>
    <w:rsid w:val="009A0C5D"/>
    <w:rsid w:val="009C3809"/>
    <w:rsid w:val="009C4672"/>
    <w:rsid w:val="009C491B"/>
    <w:rsid w:val="009D0911"/>
    <w:rsid w:val="009D24F8"/>
    <w:rsid w:val="009D688C"/>
    <w:rsid w:val="009D7B83"/>
    <w:rsid w:val="009F1CE6"/>
    <w:rsid w:val="009F276E"/>
    <w:rsid w:val="009F7A36"/>
    <w:rsid w:val="00A249C2"/>
    <w:rsid w:val="00A24FAB"/>
    <w:rsid w:val="00A301E7"/>
    <w:rsid w:val="00A31525"/>
    <w:rsid w:val="00A42E69"/>
    <w:rsid w:val="00A45CA7"/>
    <w:rsid w:val="00A51415"/>
    <w:rsid w:val="00A6014E"/>
    <w:rsid w:val="00A60356"/>
    <w:rsid w:val="00A61A9C"/>
    <w:rsid w:val="00A66F2C"/>
    <w:rsid w:val="00A73838"/>
    <w:rsid w:val="00A81DF1"/>
    <w:rsid w:val="00A90EF3"/>
    <w:rsid w:val="00AA7717"/>
    <w:rsid w:val="00AB131E"/>
    <w:rsid w:val="00AB3C72"/>
    <w:rsid w:val="00AB644F"/>
    <w:rsid w:val="00AB70C5"/>
    <w:rsid w:val="00AC3F5E"/>
    <w:rsid w:val="00AC5293"/>
    <w:rsid w:val="00AD37AF"/>
    <w:rsid w:val="00AE43B8"/>
    <w:rsid w:val="00AE7ACF"/>
    <w:rsid w:val="00AF1ED9"/>
    <w:rsid w:val="00B06409"/>
    <w:rsid w:val="00B16C25"/>
    <w:rsid w:val="00B17D66"/>
    <w:rsid w:val="00B31DFE"/>
    <w:rsid w:val="00B31FD9"/>
    <w:rsid w:val="00B35D3A"/>
    <w:rsid w:val="00B422F1"/>
    <w:rsid w:val="00B60377"/>
    <w:rsid w:val="00B71531"/>
    <w:rsid w:val="00B716CB"/>
    <w:rsid w:val="00B71F89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147D2"/>
    <w:rsid w:val="00C2075F"/>
    <w:rsid w:val="00C23799"/>
    <w:rsid w:val="00C274C9"/>
    <w:rsid w:val="00C31E02"/>
    <w:rsid w:val="00C45BC1"/>
    <w:rsid w:val="00C54291"/>
    <w:rsid w:val="00C672C3"/>
    <w:rsid w:val="00C712B2"/>
    <w:rsid w:val="00C94325"/>
    <w:rsid w:val="00C95928"/>
    <w:rsid w:val="00C9681A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3ADC"/>
    <w:rsid w:val="00CE4849"/>
    <w:rsid w:val="00CE5C8E"/>
    <w:rsid w:val="00CE5F49"/>
    <w:rsid w:val="00D01626"/>
    <w:rsid w:val="00D13966"/>
    <w:rsid w:val="00D33A4D"/>
    <w:rsid w:val="00D33F76"/>
    <w:rsid w:val="00D41F5E"/>
    <w:rsid w:val="00D42E6E"/>
    <w:rsid w:val="00D43DC0"/>
    <w:rsid w:val="00D54E56"/>
    <w:rsid w:val="00D6407D"/>
    <w:rsid w:val="00D93E78"/>
    <w:rsid w:val="00DC6E91"/>
    <w:rsid w:val="00DC7514"/>
    <w:rsid w:val="00DD3845"/>
    <w:rsid w:val="00DD5039"/>
    <w:rsid w:val="00E1687A"/>
    <w:rsid w:val="00E20A2E"/>
    <w:rsid w:val="00E277DE"/>
    <w:rsid w:val="00E27EE9"/>
    <w:rsid w:val="00E3239D"/>
    <w:rsid w:val="00E3254B"/>
    <w:rsid w:val="00E3439B"/>
    <w:rsid w:val="00E42C5F"/>
    <w:rsid w:val="00E61037"/>
    <w:rsid w:val="00E65A1B"/>
    <w:rsid w:val="00E72F1F"/>
    <w:rsid w:val="00E934AB"/>
    <w:rsid w:val="00EA06AC"/>
    <w:rsid w:val="00EA08BF"/>
    <w:rsid w:val="00EA24FB"/>
    <w:rsid w:val="00EA3F5E"/>
    <w:rsid w:val="00EB3204"/>
    <w:rsid w:val="00EB3B38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3E10"/>
    <w:rsid w:val="00F2678C"/>
    <w:rsid w:val="00F27B38"/>
    <w:rsid w:val="00F27E3D"/>
    <w:rsid w:val="00F40278"/>
    <w:rsid w:val="00F41832"/>
    <w:rsid w:val="00F51D34"/>
    <w:rsid w:val="00F56988"/>
    <w:rsid w:val="00F620FB"/>
    <w:rsid w:val="00F6405A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3929"/>
    <w:rsid w:val="00FC4D8F"/>
    <w:rsid w:val="00FD06D3"/>
    <w:rsid w:val="00FE3157"/>
    <w:rsid w:val="00FE6865"/>
    <w:rsid w:val="00FE6993"/>
    <w:rsid w:val="063C761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8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6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18">
    <w:name w:val="Table Grid"/>
    <w:basedOn w:val="17"/>
    <w:uiPriority w:val="59"/>
    <w:pPr/>
    <w:tblPr>
      <w:tblStyle w:val="1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Revision"/>
    <w:hidden/>
    <w:semiHidden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6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7">
    <w:name w:val="页眉 Char"/>
    <w:basedOn w:val="13"/>
    <w:link w:val="9"/>
    <w:uiPriority w:val="99"/>
    <w:rPr>
      <w:sz w:val="18"/>
      <w:szCs w:val="18"/>
    </w:rPr>
  </w:style>
  <w:style w:type="character" w:customStyle="1" w:styleId="28">
    <w:name w:val="页脚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"/>
    <w:basedOn w:val="13"/>
    <w:link w:val="7"/>
    <w:semiHidden/>
    <w:uiPriority w:val="0"/>
    <w:rPr>
      <w:sz w:val="18"/>
      <w:szCs w:val="18"/>
    </w:rPr>
  </w:style>
  <w:style w:type="character" w:customStyle="1" w:styleId="30">
    <w:name w:val="HTML 预设格式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"/>
    <w:basedOn w:val="13"/>
    <w:link w:val="6"/>
    <w:semiHidden/>
    <w:uiPriority w:val="0"/>
    <w:rPr>
      <w:rFonts w:ascii="Calibri" w:hAnsi="Calibri" w:eastAsia="宋体" w:cs="Times New Roman"/>
    </w:rPr>
  </w:style>
  <w:style w:type="character" w:customStyle="1" w:styleId="32">
    <w:name w:val="标题 1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"/>
    <w:basedOn w:val="13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"/>
    <w:basedOn w:val="13"/>
    <w:semiHidden/>
    <w:uiPriority w:val="99"/>
    <w:rPr>
      <w:kern w:val="2"/>
      <w:sz w:val="18"/>
      <w:szCs w:val="18"/>
    </w:rPr>
  </w:style>
  <w:style w:type="character" w:customStyle="1" w:styleId="36">
    <w:name w:val="脚注文本 Char1"/>
    <w:basedOn w:val="13"/>
    <w:link w:val="10"/>
    <w:semiHidden/>
    <w:uiPriority w:val="0"/>
    <w:rPr>
      <w:rFonts w:ascii="Times New Roman" w:hAnsi="Times New Roman"/>
      <w:sz w:val="18"/>
      <w:szCs w:val="18"/>
    </w:rPr>
  </w:style>
  <w:style w:type="character" w:customStyle="1" w:styleId="37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8">
    <w:name w:val="文档结构图 Char"/>
    <w:basedOn w:val="13"/>
    <w:link w:val="5"/>
    <w:uiPriority w:val="0"/>
    <w:rPr>
      <w:rFonts w:ascii="宋体"/>
      <w:sz w:val="18"/>
      <w:szCs w:val="18"/>
    </w:rPr>
  </w:style>
  <w:style w:type="character" w:customStyle="1" w:styleId="39">
    <w:name w:val="批注文字 Char1"/>
    <w:basedOn w:val="13"/>
    <w:semiHidden/>
    <w:uiPriority w:val="99"/>
    <w:rPr>
      <w:kern w:val="2"/>
      <w:sz w:val="21"/>
      <w:szCs w:val="22"/>
    </w:rPr>
  </w:style>
  <w:style w:type="character" w:customStyle="1" w:styleId="40">
    <w:name w:val="Intense Emphasis"/>
    <w:basedOn w:val="13"/>
    <w:qFormat/>
    <w:uiPriority w:val="21"/>
    <w:rPr>
      <w:b/>
      <w:bCs/>
      <w:i/>
      <w:iCs/>
      <w:color w:val="4F81BD"/>
    </w:rPr>
  </w:style>
  <w:style w:type="character" w:customStyle="1" w:styleId="41">
    <w:name w:val="文档结构图 Char1"/>
    <w:basedOn w:val="13"/>
    <w:semiHidden/>
    <w:uiPriority w:val="99"/>
    <w:rPr>
      <w:rFonts w:ascii="宋体" w:eastAsia="宋体"/>
      <w:sz w:val="18"/>
      <w:szCs w:val="18"/>
    </w:rPr>
  </w:style>
  <w:style w:type="character" w:customStyle="1" w:styleId="42">
    <w:name w:val="脚注文本 Char2"/>
    <w:basedOn w:val="1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1.jpeg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587</Words>
  <Characters>3348</Characters>
  <Lines>27</Lines>
  <Paragraphs>7</Paragraphs>
  <TotalTime>0</TotalTime>
  <ScaleCrop>false</ScaleCrop>
  <LinksUpToDate>false</LinksUpToDate>
  <CharactersWithSpaces>0</CharactersWithSpaces>
  <Application>WPS Office 专业版_9.1.0.4894_{F1E327BC-269C-435d-A152-05C5408002CA}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2020-02-26T11:29:00Z</dcterms:created>
  <dc:creator>裴建君2</dc:creator>
  <cp:lastModifiedBy>Administrator</cp:lastModifiedBy>
  <cp:lastPrinted>2017-12-26T09:10:00Z</cp:lastPrinted>
  <dcterms:modified xsi:type="dcterms:W3CDTF">2021-03-11T02:49:44Z</dcterms:modified>
  <dc:title>编号：57014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2052-9.1.0.4894</vt:lpwstr>
  </property>
</Properties>
</file>