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FC" w:rsidRDefault="00E60DFC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60DFC" w:rsidRDefault="00E60DFC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60DFC" w:rsidRDefault="00E60DFC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60DFC" w:rsidRDefault="00E60DFC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E60DFC" w:rsidRDefault="007F24FD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银行、农村信用社、兑换机构及非金融机构等结汇、售汇业务市场准入、退出审批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</w:t>
      </w:r>
    </w:p>
    <w:p w:rsidR="00E60DFC" w:rsidRDefault="007F24FD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服务指南</w:t>
      </w:r>
    </w:p>
    <w:p w:rsidR="00E60DFC" w:rsidRDefault="00E60DF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E60DFC" w:rsidRDefault="00E60DF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E60DFC" w:rsidRDefault="00E60DF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E60DFC" w:rsidRDefault="00E60DF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E60DFC" w:rsidRDefault="00E60DF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E60DFC" w:rsidRDefault="00E60DF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465A45" w:rsidRDefault="00465A45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465A45" w:rsidRDefault="00465A45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465A45" w:rsidRDefault="00465A45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E60DFC" w:rsidRDefault="007F24FD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 w:rsidR="00465A45">
        <w:rPr>
          <w:rFonts w:ascii="Times New Roman" w:eastAsia="仿宋_GB2312" w:hAnsi="Times New Roman" w:cs="Times New Roman" w:hint="eastAsia"/>
          <w:sz w:val="30"/>
          <w:szCs w:val="30"/>
        </w:rPr>
        <w:t>贵州省分局</w:t>
      </w:r>
    </w:p>
    <w:p w:rsidR="00E60DFC" w:rsidRDefault="00E60DFC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E60DFC" w:rsidRDefault="00E60DFC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E60DF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0DFC" w:rsidRDefault="007F24FD" w:rsidP="00992BF8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</w:t>
      </w:r>
      <w:r w:rsidR="00992BF8">
        <w:rPr>
          <w:rFonts w:ascii="Times New Roman" w:eastAsia="黑体" w:hAnsi="Times New Roman" w:cs="Times New Roman" w:hint="eastAsia"/>
          <w:sz w:val="30"/>
          <w:szCs w:val="30"/>
        </w:rPr>
        <w:t>名称</w:t>
      </w:r>
    </w:p>
    <w:p w:rsidR="00E60DFC" w:rsidRDefault="007F24FD" w:rsidP="00992BF8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银行、农村信用社、兑换机构及非金融机构等结汇、售汇业务市场准入、退出审批</w:t>
      </w:r>
    </w:p>
    <w:p w:rsidR="00E60DFC" w:rsidRDefault="007F24FD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E60DFC" w:rsidRDefault="007F24FD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银行、农村信用社、兑换机构及非金融机构等结汇、售汇业务市场准入、退出审批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E60DFC" w:rsidRDefault="007F24FD"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  <w:r>
        <w:rPr>
          <w:rFonts w:ascii="Times New Roman" w:eastAsia="黑体" w:hAnsi="Times New Roman" w:cs="Times New Roman"/>
          <w:sz w:val="30"/>
          <w:szCs w:val="30"/>
        </w:rPr>
        <w:tab/>
      </w:r>
    </w:p>
    <w:p w:rsidR="00E60DFC" w:rsidRDefault="007F24FD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号）第二十四条：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金融机构经营或者终止经营结汇、售汇业务，应当经外汇管理机关批准；经营或者终止经营其他外汇业务，应当按照职责分工经外汇管理机关或者金融业监督管理机构批准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E60DFC" w:rsidRDefault="007F24FD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号）第五十三条：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非金融机构经营结汇、售汇业务，应当由国务院外汇管理部门批准，具体管理办法由国务院外汇管理部门另行制定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E60DFC" w:rsidRDefault="007F24FD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四、银行合作办理远期结售汇业务市场准入审批</w:t>
      </w:r>
    </w:p>
    <w:p w:rsidR="00E60DFC" w:rsidRDefault="007F24FD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E60DFC" w:rsidRDefault="007F24FD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《国家外汇管理局关于合作办理远期结售汇业务有关问题的通知》（汇发</w:t>
      </w:r>
      <w:r>
        <w:rPr>
          <w:rFonts w:ascii="Times New Roman" w:eastAsia="仿宋_GB2312" w:hAnsi="Times New Roman" w:cs="Times New Roman"/>
          <w:sz w:val="30"/>
          <w:szCs w:val="30"/>
        </w:rPr>
        <w:t>[2010]62</w:t>
      </w:r>
      <w:r>
        <w:rPr>
          <w:rFonts w:ascii="Times New Roman" w:eastAsia="仿宋_GB2312" w:hAnsi="Times New Roman" w:cs="Times New Roman"/>
          <w:sz w:val="30"/>
          <w:szCs w:val="30"/>
        </w:rPr>
        <w:t>号）。</w:t>
      </w:r>
    </w:p>
    <w:p w:rsidR="00E60DFC" w:rsidRDefault="007F24F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E60DFC" w:rsidRDefault="007F24FD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申请人</w:t>
      </w:r>
      <w:r>
        <w:rPr>
          <w:rFonts w:ascii="Times New Roman" w:eastAsia="仿宋_GB2312" w:hAnsi="Times New Roman" w:cs="Times New Roman"/>
          <w:sz w:val="30"/>
          <w:szCs w:val="30"/>
        </w:rPr>
        <w:t>向所在地国家外汇管理局分局（外汇管理部）申请，如处于市（地、州、区）、县，应向所在地国家外汇管理局中心支局或支局申请，并逐级上报至国家外汇管理局分局（外汇管理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部）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E60DFC" w:rsidRDefault="007F24F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E60DFC" w:rsidRDefault="007F24FD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申请人所在地国家外汇管理局分局（外汇管理部）。</w:t>
      </w:r>
    </w:p>
    <w:p w:rsidR="00E60DFC" w:rsidRDefault="007F24F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E60DFC" w:rsidRDefault="007F24FD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</w:t>
      </w:r>
    </w:p>
    <w:p w:rsidR="00E60DFC" w:rsidRDefault="007F24F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申请人可为境内银行总行或其分支机构。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境内银行总行需同时符合以下条件：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）具有国家外汇管理局及其分支局核准的即期结售汇业务资格，并已开办即期结售汇业务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年（含）以上；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）近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年（含）即期结售汇业务经营中未发生重大违规行为；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）上年度外汇资产季平均余额在等值</w:t>
      </w:r>
      <w:r>
        <w:rPr>
          <w:rFonts w:ascii="Times New Roman" w:eastAsia="仿宋_GB2312" w:hAnsi="Times New Roman" w:cs="Times New Roman"/>
          <w:sz w:val="30"/>
          <w:szCs w:val="30"/>
        </w:rPr>
        <w:t>2000</w:t>
      </w:r>
      <w:r>
        <w:rPr>
          <w:rFonts w:ascii="Times New Roman" w:eastAsia="仿宋_GB2312" w:hAnsi="Times New Roman" w:cs="Times New Roman"/>
          <w:sz w:val="30"/>
          <w:szCs w:val="30"/>
        </w:rPr>
        <w:t>万美元（含）以上；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）近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年执行外汇管理规定情况考核等级为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级（含）以上；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）具有完善的合作办理远期结售汇业务管理制度；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境内银行分支机构需同时符合以下条件：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）具有国家外汇管理局及其分支局核准的即期结售汇业务资格，并已开办即期结售汇业务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年（含）以上；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）近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年（含）即期结售汇业务经营中未发生重大违规行为；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）近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年执行外汇管理规定情况考核等级为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级（含）以上；</w:t>
      </w:r>
    </w:p>
    <w:p w:rsidR="00E60DFC" w:rsidRDefault="007F24FD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）取得其总行（或总社）授权。</w:t>
      </w:r>
    </w:p>
    <w:p w:rsidR="00E60DFC" w:rsidRDefault="007F24F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p w:rsidR="00E60DFC" w:rsidRDefault="007F24FD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银行总行合作办理远期结售汇业务市场准入审批</w:t>
      </w:r>
      <w:r>
        <w:rPr>
          <w:rFonts w:ascii="Times New Roman" w:eastAsia="仿宋_GB2312" w:hAnsi="Times New Roman" w:cs="Times New Roman"/>
          <w:sz w:val="30"/>
          <w:szCs w:val="30"/>
        </w:rPr>
        <w:t>申请材料清单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 w:rsidR="00E60DFC">
        <w:tc>
          <w:tcPr>
            <w:tcW w:w="81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E60DFC">
        <w:tc>
          <w:tcPr>
            <w:tcW w:w="81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E60DFC" w:rsidRDefault="00E60DFC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E60DFC" w:rsidRDefault="00E60DFC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E60DFC">
        <w:tc>
          <w:tcPr>
            <w:tcW w:w="81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 w:rsidR="00E60DFC" w:rsidRDefault="00E60DFC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E60DFC">
        <w:tc>
          <w:tcPr>
            <w:tcW w:w="81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E60DFC" w:rsidRDefault="00E60D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E60DFC" w:rsidRDefault="00E60D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E60DFC">
        <w:tc>
          <w:tcPr>
            <w:tcW w:w="81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上年度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个季度的外汇资产负债表</w:t>
            </w:r>
          </w:p>
        </w:tc>
        <w:tc>
          <w:tcPr>
            <w:tcW w:w="961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E60DFC" w:rsidRDefault="00E60D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E60DFC" w:rsidRDefault="00E60D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E60DFC" w:rsidRDefault="007F24FD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银行分支机构合作办理远期结售汇业务市场准入审批</w:t>
      </w:r>
      <w:r>
        <w:rPr>
          <w:rFonts w:ascii="Times New Roman" w:eastAsia="仿宋_GB2312" w:hAnsi="Times New Roman" w:cs="Times New Roman"/>
          <w:sz w:val="30"/>
          <w:szCs w:val="30"/>
        </w:rPr>
        <w:t>申请材料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 w:rsidR="00E60DFC">
        <w:tc>
          <w:tcPr>
            <w:tcW w:w="81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E60DFC">
        <w:tc>
          <w:tcPr>
            <w:tcW w:w="81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E60DFC" w:rsidRDefault="00E60DFC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E60DFC" w:rsidRDefault="00E60DFC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E60DFC">
        <w:tc>
          <w:tcPr>
            <w:tcW w:w="81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 w:rsidR="00E60DFC" w:rsidRDefault="00E60DFC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E60DFC">
        <w:tc>
          <w:tcPr>
            <w:tcW w:w="81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E60DFC" w:rsidRDefault="00E60D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E60DFC" w:rsidRDefault="00E60D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E60DFC">
        <w:tc>
          <w:tcPr>
            <w:tcW w:w="81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总行（或总社）的授权文件</w:t>
            </w:r>
          </w:p>
        </w:tc>
        <w:tc>
          <w:tcPr>
            <w:tcW w:w="961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0DFC" w:rsidRDefault="007F24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E60DFC" w:rsidRDefault="00E60D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E60DFC" w:rsidRDefault="00E60DF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E60DFC" w:rsidRDefault="007F24F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E60DFC" w:rsidRDefault="007F24FD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申请人可通过窗口、邮寄、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国家外汇管理局政务服务网上办</w:t>
      </w:r>
      <w:r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理系统</w:t>
      </w:r>
      <w:r>
        <w:rPr>
          <w:rFonts w:ascii="Times New Roman" w:eastAsia="仿宋_GB2312" w:hAnsi="Times New Roman" w:cs="Times New Roman"/>
          <w:sz w:val="30"/>
          <w:szCs w:val="30"/>
        </w:rPr>
        <w:t>等方式提交材料。</w:t>
      </w:r>
    </w:p>
    <w:p w:rsidR="00E60DFC" w:rsidRDefault="007F24F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不予受理的，出具不予受理通知书；受理的，出具受理通知书，进行审查报批；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不予许可的，出具不予许可通知书。许可的，向申请人出具备案通知书。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材料不全或不符合法定形式的，一次性告知补正材料，并出具《行政许可补正通知书》。</w:t>
      </w:r>
    </w:p>
    <w:p w:rsidR="00E60DFC" w:rsidRDefault="007F24F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E60DFC" w:rsidRDefault="007F24F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一般程序：申请、受理、审查、出具备案通知书。</w:t>
      </w:r>
    </w:p>
    <w:p w:rsidR="00E60DFC" w:rsidRDefault="007F24F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E60DFC" w:rsidRDefault="007F24FD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E60DFC" w:rsidRDefault="007F24FD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E60DFC" w:rsidRDefault="007F24FD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E60DFC" w:rsidRDefault="007F24F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E60DFC" w:rsidRDefault="007F24F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备案通知书。</w:t>
      </w:r>
    </w:p>
    <w:p w:rsidR="00E60DFC" w:rsidRDefault="007F24FD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E60DFC" w:rsidRDefault="007F24F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E60DFC" w:rsidRDefault="007F24FD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E60DFC" w:rsidRDefault="007F24F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获批后合法合规办理相关业务。</w:t>
      </w:r>
    </w:p>
    <w:p w:rsidR="00E60DFC" w:rsidRDefault="007F24FD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（十五）事项审查类型</w:t>
      </w:r>
    </w:p>
    <w:p w:rsidR="00E60DFC" w:rsidRDefault="007F24F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前审后批</w:t>
      </w:r>
    </w:p>
    <w:p w:rsidR="00992BF8" w:rsidRDefault="007F24FD" w:rsidP="00992BF8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</w:t>
      </w:r>
      <w:r w:rsidR="00992BF8">
        <w:rPr>
          <w:rFonts w:ascii="Times New Roman" w:eastAsia="黑体" w:hAnsi="Times New Roman"/>
          <w:sz w:val="30"/>
          <w:szCs w:val="30"/>
        </w:rPr>
        <w:t>办公地址</w:t>
      </w:r>
      <w:r w:rsidR="00992BF8">
        <w:rPr>
          <w:rFonts w:ascii="Times New Roman" w:eastAsia="黑体" w:hAnsi="Times New Roman" w:hint="eastAsia"/>
          <w:sz w:val="30"/>
          <w:szCs w:val="30"/>
        </w:rPr>
        <w:t>、</w:t>
      </w:r>
      <w:r w:rsidR="00992BF8">
        <w:rPr>
          <w:rFonts w:ascii="Times New Roman" w:eastAsia="黑体" w:hAnsi="Times New Roman"/>
          <w:sz w:val="30"/>
          <w:szCs w:val="30"/>
        </w:rPr>
        <w:t>时间</w:t>
      </w:r>
      <w:r w:rsidR="00992BF8">
        <w:rPr>
          <w:rFonts w:ascii="Times New Roman" w:eastAsia="黑体" w:hAnsi="Times New Roman" w:hint="eastAsia"/>
          <w:sz w:val="30"/>
          <w:szCs w:val="30"/>
        </w:rPr>
        <w:t>及咨询、投诉渠道</w:t>
      </w:r>
    </w:p>
    <w:tbl>
      <w:tblPr>
        <w:tblW w:w="9320" w:type="dxa"/>
        <w:tblInd w:w="95" w:type="dxa"/>
        <w:tblLook w:val="04A0"/>
      </w:tblPr>
      <w:tblGrid>
        <w:gridCol w:w="1620"/>
        <w:gridCol w:w="2340"/>
        <w:gridCol w:w="1740"/>
        <w:gridCol w:w="1780"/>
        <w:gridCol w:w="1840"/>
      </w:tblGrid>
      <w:tr w:rsidR="00992BF8" w:rsidRPr="007B59A4" w:rsidTr="000F4F8B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对外服务时间（工作日）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监督投诉电话</w:t>
            </w:r>
          </w:p>
        </w:tc>
      </w:tr>
      <w:tr w:rsidR="00992BF8" w:rsidRPr="007B59A4" w:rsidTr="000F4F8B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国家外汇管理局贵州省分局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贵阳市南明区宝山北路2号人民银行贵阳中心支行1007室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8:30-11:30 14:30-17:30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0851-85650857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0851-85650730</w:t>
            </w:r>
          </w:p>
        </w:tc>
      </w:tr>
      <w:tr w:rsidR="00992BF8" w:rsidRPr="007B59A4" w:rsidTr="000F4F8B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国家外汇管理局安顺市中心支局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安顺市塔山东路26号外汇管理科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8:30-11:30 14:30-17:30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0851-33221300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0851-33324984</w:t>
            </w:r>
          </w:p>
        </w:tc>
      </w:tr>
      <w:tr w:rsidR="00992BF8" w:rsidRPr="007B59A4" w:rsidTr="000F4F8B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国家外汇管理局六盘水市中心支局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六盘水市钟山区明湖路640号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8:30-11:50 14:30-17:30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0858-6525379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0858-6525292</w:t>
            </w:r>
          </w:p>
        </w:tc>
      </w:tr>
      <w:tr w:rsidR="00992BF8" w:rsidRPr="007B59A4" w:rsidTr="000F4F8B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国家外汇管理局黔南州中心支局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都匀市斗篷山路171号人民银行黔南州中心支行703室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8:30-11:30 14:30-17:30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F8" w:rsidRPr="007B59A4" w:rsidRDefault="00992BF8" w:rsidP="000F4F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0854-8225834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F8" w:rsidRPr="007B59A4" w:rsidRDefault="00992BF8" w:rsidP="000F4F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0854-8224206</w:t>
            </w:r>
          </w:p>
        </w:tc>
      </w:tr>
      <w:tr w:rsidR="00992BF8" w:rsidRPr="007B59A4" w:rsidTr="000F4F8B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国家外汇管理局黔西南州中心支局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贵州省兴义市瑞金南路42号人民银行黔西南州中心支行704室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8:30-11:30 14:30-17:30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0859-3223077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0859-3232767</w:t>
            </w:r>
          </w:p>
        </w:tc>
      </w:tr>
      <w:tr w:rsidR="00992BF8" w:rsidRPr="007B59A4" w:rsidTr="000F4F8B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国家外汇管理局遵义市中心支局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遵义市汇川区北海路66号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8:30-11:30 14:30-17:30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0851-28220102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0851-28227762</w:t>
            </w:r>
          </w:p>
        </w:tc>
      </w:tr>
      <w:tr w:rsidR="00992BF8" w:rsidRPr="007B59A4" w:rsidTr="000F4F8B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国家外汇管理局铜仁市中心支局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铜仁市碧江区东太大道355号人民银行铜仁市中心支行504室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8:40-11:50 14:30-17:20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0856-5201198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0856-5200523</w:t>
            </w:r>
          </w:p>
        </w:tc>
      </w:tr>
      <w:tr w:rsidR="00992BF8" w:rsidRPr="007B59A4" w:rsidTr="000F4F8B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国家外汇管理局毕节市中心支局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贵州省毕节市七星关区解放路6号中国人民银行毕节市中心支行1103室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8:30-11:30 14:30-17:30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0857-8336116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0857-8336117</w:t>
            </w:r>
          </w:p>
        </w:tc>
      </w:tr>
      <w:tr w:rsidR="00992BF8" w:rsidRPr="007B59A4" w:rsidTr="000F4F8B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国家外汇管理局黔东南州中心支局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黔东南州凯里市博西路6号802室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8:30-12:00 14:30-17:30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0855-8061454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F8" w:rsidRPr="007B59A4" w:rsidRDefault="00992BF8" w:rsidP="000F4F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0855-8062164</w:t>
            </w:r>
          </w:p>
        </w:tc>
      </w:tr>
    </w:tbl>
    <w:p w:rsidR="00992BF8" w:rsidRDefault="00992BF8" w:rsidP="00992BF8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注：</w:t>
      </w:r>
      <w:r>
        <w:rPr>
          <w:rFonts w:ascii="Times New Roman" w:eastAsia="仿宋_GB2312" w:hAnsi="Times New Roman"/>
          <w:sz w:val="30"/>
          <w:szCs w:val="30"/>
        </w:rPr>
        <w:t>向各地外汇局进行咨询、进程查询、监督和投诉等可通过各</w:t>
      </w:r>
      <w:r>
        <w:rPr>
          <w:rFonts w:ascii="Times New Roman" w:eastAsia="仿宋_GB2312" w:hAnsi="Times New Roman" w:cs="Times New Roman"/>
          <w:sz w:val="30"/>
          <w:szCs w:val="30"/>
        </w:rPr>
        <w:t>地外汇局官方互联网站的相应栏目进行。网址可通过</w:t>
      </w:r>
      <w:hyperlink r:id="rId9" w:history="1">
        <w:r>
          <w:rPr>
            <w:rStyle w:val="ac"/>
            <w:rFonts w:ascii="Times New Roman" w:eastAsia="仿宋_GB2312" w:hAnsi="Times New Roman" w:cs="Times New Roman"/>
            <w:sz w:val="30"/>
            <w:szCs w:val="30"/>
          </w:rPr>
          <w:t>www.safe.gov.cn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进行链接，也可通过各外汇局官方互联网站上公布的电话进行。通过国家外汇管理局政务服务网上办理系统提交申请的，可在该系统内进行查询。</w:t>
      </w:r>
    </w:p>
    <w:p w:rsidR="00E60DFC" w:rsidRDefault="007F24FD" w:rsidP="00992BF8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（十七）禁止性要求</w:t>
      </w:r>
    </w:p>
    <w:p w:rsidR="00E60DFC" w:rsidRDefault="007F24F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如符合上述条件，不存在不予许可的情况。</w:t>
      </w:r>
    </w:p>
    <w:p w:rsidR="00E60DFC" w:rsidRDefault="007F24FD" w:rsidP="00992BF8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（十八）申请材料示范文本</w:t>
      </w:r>
    </w:p>
    <w:p w:rsidR="00E60DFC" w:rsidRDefault="007F24F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无固定格式，但需要根据总行、分支机构提供不同的材料，有关内容要求详见（六）申请材料。</w:t>
      </w:r>
    </w:p>
    <w:p w:rsidR="00E60DFC" w:rsidRDefault="007F24FD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</w:t>
      </w:r>
      <w:r w:rsidR="00992BF8">
        <w:rPr>
          <w:rFonts w:ascii="Times New Roman" w:eastAsia="黑体" w:hAnsi="Times New Roman" w:cs="Times New Roman" w:hint="eastAsia"/>
          <w:sz w:val="30"/>
          <w:szCs w:val="30"/>
        </w:rPr>
        <w:t>十九</w:t>
      </w:r>
      <w:r>
        <w:rPr>
          <w:rFonts w:ascii="Times New Roman" w:eastAsia="黑体" w:hAnsi="Times New Roman" w:cs="Times New Roman"/>
          <w:sz w:val="30"/>
          <w:szCs w:val="30"/>
        </w:rPr>
        <w:t>）常见问题解答</w:t>
      </w:r>
    </w:p>
    <w:p w:rsidR="00E60DFC" w:rsidRDefault="007F24F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审批时限在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个工作日以内。但办理过程中所需的现场验收等，不计入时限。</w:t>
      </w:r>
    </w:p>
    <w:p w:rsidR="00E60DFC" w:rsidRDefault="00992BF8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</w:t>
      </w:r>
      <w:r w:rsidR="007F24FD">
        <w:rPr>
          <w:rFonts w:ascii="Times New Roman" w:eastAsia="黑体" w:hAnsi="Times New Roman" w:cs="Times New Roman"/>
          <w:sz w:val="30"/>
          <w:szCs w:val="30"/>
        </w:rPr>
        <w:t>）常见错误示例</w:t>
      </w:r>
    </w:p>
    <w:p w:rsidR="00E60DFC" w:rsidRDefault="007F24F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申请材料不完全符合规定，例如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合作办理远期结售汇业务相关管理制度包含内容不全等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E60DFC" w:rsidRDefault="00E60DF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E60DFC" w:rsidRDefault="00E60DFC">
      <w:pPr>
        <w:ind w:right="300" w:firstLine="600"/>
        <w:rPr>
          <w:rFonts w:ascii="Times New Roman" w:eastAsia="仿宋_GB2312" w:hAnsi="Times New Roman" w:cs="Times New Roman"/>
          <w:sz w:val="30"/>
          <w:szCs w:val="30"/>
        </w:rPr>
        <w:sectPr w:rsidR="00E60DFC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0DFC" w:rsidRDefault="007F24FD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E60DFC" w:rsidRDefault="007F24FD">
      <w:pPr>
        <w:ind w:right="300"/>
        <w:jc w:val="center"/>
        <w:rPr>
          <w:rFonts w:ascii="Times New Roman" w:eastAsia="黑体" w:hAnsi="Times New Roman" w:cs="Times New Roman" w:hint="eastAsia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9018E3" w:rsidRDefault="009018E3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60DFC" w:rsidRDefault="009018E3" w:rsidP="009018E3">
      <w:pPr>
        <w:ind w:right="300"/>
        <w:jc w:val="center"/>
        <w:rPr>
          <w:rFonts w:ascii="Times New Roman" w:hAnsi="Times New Roman" w:cs="Times New Roman"/>
        </w:rPr>
      </w:pPr>
      <w:r>
        <w:rPr>
          <w:rFonts w:ascii="微软雅黑" w:eastAsia="微软雅黑" w:cs="微软雅黑" w:hint="eastAsia"/>
          <w:noProof/>
          <w:color w:val="004080"/>
          <w:kern w:val="0"/>
          <w:sz w:val="24"/>
          <w:szCs w:val="24"/>
        </w:rPr>
        <w:drawing>
          <wp:inline distT="0" distB="0" distL="0" distR="0">
            <wp:extent cx="5511652" cy="4985468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998" cy="498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DFC" w:rsidSect="00E60DFC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CD7" w:rsidRDefault="00B95CD7" w:rsidP="00E60DFC">
      <w:r>
        <w:separator/>
      </w:r>
    </w:p>
  </w:endnote>
  <w:endnote w:type="continuationSeparator" w:id="1">
    <w:p w:rsidR="00B95CD7" w:rsidRDefault="00B95CD7" w:rsidP="00E6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358"/>
      <w:docPartObj>
        <w:docPartGallery w:val="AutoText"/>
      </w:docPartObj>
    </w:sdtPr>
    <w:sdtContent>
      <w:p w:rsidR="00E60DFC" w:rsidRDefault="00232051">
        <w:pPr>
          <w:pStyle w:val="a7"/>
          <w:jc w:val="center"/>
        </w:pPr>
        <w:r w:rsidRPr="00232051">
          <w:fldChar w:fldCharType="begin"/>
        </w:r>
        <w:r w:rsidR="007F24FD">
          <w:instrText xml:space="preserve"> PAGE   \* MERGEFORMAT </w:instrText>
        </w:r>
        <w:r w:rsidRPr="00232051">
          <w:fldChar w:fldCharType="separate"/>
        </w:r>
        <w:r w:rsidR="009018E3" w:rsidRPr="009018E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60DFC" w:rsidRDefault="00E60D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360"/>
      <w:docPartObj>
        <w:docPartGallery w:val="AutoText"/>
      </w:docPartObj>
    </w:sdtPr>
    <w:sdtContent>
      <w:p w:rsidR="00E60DFC" w:rsidRDefault="00232051">
        <w:pPr>
          <w:pStyle w:val="a7"/>
          <w:jc w:val="center"/>
        </w:pPr>
        <w:r w:rsidRPr="00232051">
          <w:fldChar w:fldCharType="begin"/>
        </w:r>
        <w:r w:rsidR="007F24FD">
          <w:instrText xml:space="preserve"> PAGE   \* MERGEFORMAT </w:instrText>
        </w:r>
        <w:r w:rsidRPr="00232051">
          <w:fldChar w:fldCharType="separate"/>
        </w:r>
        <w:r w:rsidR="009018E3" w:rsidRPr="009018E3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E60DFC" w:rsidRDefault="00E60D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FC" w:rsidRDefault="00232051">
    <w:pPr>
      <w:pStyle w:val="a7"/>
      <w:jc w:val="center"/>
    </w:pPr>
    <w:r>
      <w:fldChar w:fldCharType="begin"/>
    </w:r>
    <w:r w:rsidR="007F24FD">
      <w:instrText>PAGE   \* MERGEFORMAT</w:instrText>
    </w:r>
    <w:r>
      <w:fldChar w:fldCharType="separate"/>
    </w:r>
    <w:r w:rsidR="009018E3" w:rsidRPr="009018E3">
      <w:rPr>
        <w:noProof/>
        <w:lang w:val="zh-CN"/>
      </w:rPr>
      <w:t>8</w:t>
    </w:r>
    <w:r>
      <w:fldChar w:fldCharType="end"/>
    </w:r>
  </w:p>
  <w:p w:rsidR="00E60DFC" w:rsidRDefault="00E60D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CD7" w:rsidRDefault="00B95CD7" w:rsidP="00E60DFC">
      <w:r>
        <w:separator/>
      </w:r>
    </w:p>
  </w:footnote>
  <w:footnote w:type="continuationSeparator" w:id="1">
    <w:p w:rsidR="00B95CD7" w:rsidRDefault="00B95CD7" w:rsidP="00E60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75594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12ED3"/>
    <w:rsid w:val="00121171"/>
    <w:rsid w:val="0012271F"/>
    <w:rsid w:val="00127A16"/>
    <w:rsid w:val="00130519"/>
    <w:rsid w:val="00135BEE"/>
    <w:rsid w:val="0014667A"/>
    <w:rsid w:val="00154B58"/>
    <w:rsid w:val="0015772B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2FC2"/>
    <w:rsid w:val="001C44C7"/>
    <w:rsid w:val="001D65A2"/>
    <w:rsid w:val="001E1407"/>
    <w:rsid w:val="001F4BD4"/>
    <w:rsid w:val="001F7297"/>
    <w:rsid w:val="00201F60"/>
    <w:rsid w:val="00204D5C"/>
    <w:rsid w:val="00205D07"/>
    <w:rsid w:val="00212F39"/>
    <w:rsid w:val="00217116"/>
    <w:rsid w:val="00231EED"/>
    <w:rsid w:val="00232051"/>
    <w:rsid w:val="002328EF"/>
    <w:rsid w:val="00233841"/>
    <w:rsid w:val="00235F24"/>
    <w:rsid w:val="002417D2"/>
    <w:rsid w:val="00241FE8"/>
    <w:rsid w:val="0024527E"/>
    <w:rsid w:val="00250558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0C35"/>
    <w:rsid w:val="002F3868"/>
    <w:rsid w:val="002F7D45"/>
    <w:rsid w:val="00302119"/>
    <w:rsid w:val="00302E87"/>
    <w:rsid w:val="00310261"/>
    <w:rsid w:val="00325D3D"/>
    <w:rsid w:val="00343044"/>
    <w:rsid w:val="003436FE"/>
    <w:rsid w:val="00343BB4"/>
    <w:rsid w:val="00344B01"/>
    <w:rsid w:val="00350957"/>
    <w:rsid w:val="00353AC4"/>
    <w:rsid w:val="003616B4"/>
    <w:rsid w:val="003A57B2"/>
    <w:rsid w:val="003C3728"/>
    <w:rsid w:val="003C7132"/>
    <w:rsid w:val="003D5953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4B0B"/>
    <w:rsid w:val="00465A45"/>
    <w:rsid w:val="0046792D"/>
    <w:rsid w:val="004746AE"/>
    <w:rsid w:val="004767DF"/>
    <w:rsid w:val="00493CCC"/>
    <w:rsid w:val="004967FB"/>
    <w:rsid w:val="004A0218"/>
    <w:rsid w:val="004A1E8B"/>
    <w:rsid w:val="004A2436"/>
    <w:rsid w:val="004A2BF8"/>
    <w:rsid w:val="004A7840"/>
    <w:rsid w:val="004B545A"/>
    <w:rsid w:val="004B7E80"/>
    <w:rsid w:val="004C0966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776AE"/>
    <w:rsid w:val="005A2981"/>
    <w:rsid w:val="005C225F"/>
    <w:rsid w:val="005C6937"/>
    <w:rsid w:val="005C7F02"/>
    <w:rsid w:val="005F0A86"/>
    <w:rsid w:val="005F144A"/>
    <w:rsid w:val="005F1C00"/>
    <w:rsid w:val="006117BD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2C0A"/>
    <w:rsid w:val="006E4695"/>
    <w:rsid w:val="006E4B8B"/>
    <w:rsid w:val="006E5901"/>
    <w:rsid w:val="0071091C"/>
    <w:rsid w:val="00714961"/>
    <w:rsid w:val="007166B6"/>
    <w:rsid w:val="00726A5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27B2"/>
    <w:rsid w:val="00785F45"/>
    <w:rsid w:val="007929C6"/>
    <w:rsid w:val="00793806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4FD"/>
    <w:rsid w:val="007F2F3B"/>
    <w:rsid w:val="00802307"/>
    <w:rsid w:val="0082168E"/>
    <w:rsid w:val="00821968"/>
    <w:rsid w:val="008471B6"/>
    <w:rsid w:val="00851521"/>
    <w:rsid w:val="00854011"/>
    <w:rsid w:val="0085686A"/>
    <w:rsid w:val="00860878"/>
    <w:rsid w:val="008731FF"/>
    <w:rsid w:val="0088294A"/>
    <w:rsid w:val="0089282A"/>
    <w:rsid w:val="008A4538"/>
    <w:rsid w:val="008A704B"/>
    <w:rsid w:val="008B08D2"/>
    <w:rsid w:val="008B2482"/>
    <w:rsid w:val="008B4EE5"/>
    <w:rsid w:val="008B5807"/>
    <w:rsid w:val="008C3178"/>
    <w:rsid w:val="008D5CA5"/>
    <w:rsid w:val="008D5FA0"/>
    <w:rsid w:val="008E2C0E"/>
    <w:rsid w:val="008E2D38"/>
    <w:rsid w:val="008F5724"/>
    <w:rsid w:val="008F5900"/>
    <w:rsid w:val="009018E3"/>
    <w:rsid w:val="00902633"/>
    <w:rsid w:val="009027D8"/>
    <w:rsid w:val="0090372F"/>
    <w:rsid w:val="00911E27"/>
    <w:rsid w:val="00911E9A"/>
    <w:rsid w:val="0092129A"/>
    <w:rsid w:val="0092215C"/>
    <w:rsid w:val="00925BB2"/>
    <w:rsid w:val="00930C8C"/>
    <w:rsid w:val="009322A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2BF8"/>
    <w:rsid w:val="00997523"/>
    <w:rsid w:val="009A0C5D"/>
    <w:rsid w:val="009C4672"/>
    <w:rsid w:val="009C491B"/>
    <w:rsid w:val="009D0911"/>
    <w:rsid w:val="009D24F8"/>
    <w:rsid w:val="009D688C"/>
    <w:rsid w:val="009E7D7A"/>
    <w:rsid w:val="009F1B37"/>
    <w:rsid w:val="009F7A36"/>
    <w:rsid w:val="00A22075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5527"/>
    <w:rsid w:val="00AB644F"/>
    <w:rsid w:val="00AC3F5E"/>
    <w:rsid w:val="00AE7ACF"/>
    <w:rsid w:val="00B06409"/>
    <w:rsid w:val="00B17D66"/>
    <w:rsid w:val="00B31FD9"/>
    <w:rsid w:val="00B35D3A"/>
    <w:rsid w:val="00B422F1"/>
    <w:rsid w:val="00B63B15"/>
    <w:rsid w:val="00B71531"/>
    <w:rsid w:val="00B7456C"/>
    <w:rsid w:val="00B84131"/>
    <w:rsid w:val="00B8630E"/>
    <w:rsid w:val="00B931F4"/>
    <w:rsid w:val="00B95573"/>
    <w:rsid w:val="00B95CD7"/>
    <w:rsid w:val="00B96395"/>
    <w:rsid w:val="00BA2AF8"/>
    <w:rsid w:val="00BA511D"/>
    <w:rsid w:val="00BB2650"/>
    <w:rsid w:val="00BB5BDC"/>
    <w:rsid w:val="00BB7B76"/>
    <w:rsid w:val="00BD233D"/>
    <w:rsid w:val="00BF4EF0"/>
    <w:rsid w:val="00C02E44"/>
    <w:rsid w:val="00C0337D"/>
    <w:rsid w:val="00C147D2"/>
    <w:rsid w:val="00C15749"/>
    <w:rsid w:val="00C2075F"/>
    <w:rsid w:val="00C22AD9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2A2E"/>
    <w:rsid w:val="00CC4922"/>
    <w:rsid w:val="00CD05F3"/>
    <w:rsid w:val="00CD1FF6"/>
    <w:rsid w:val="00CE0DBA"/>
    <w:rsid w:val="00CE25C7"/>
    <w:rsid w:val="00CE3335"/>
    <w:rsid w:val="00CE3EA9"/>
    <w:rsid w:val="00CE4849"/>
    <w:rsid w:val="00CE5C8E"/>
    <w:rsid w:val="00CE5F49"/>
    <w:rsid w:val="00D003EC"/>
    <w:rsid w:val="00D01626"/>
    <w:rsid w:val="00D02F0F"/>
    <w:rsid w:val="00D33A4D"/>
    <w:rsid w:val="00D33F76"/>
    <w:rsid w:val="00D3569D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0DFC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448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438E"/>
    <w:rsid w:val="00FB5D63"/>
    <w:rsid w:val="00FB5E0F"/>
    <w:rsid w:val="00FB6AFF"/>
    <w:rsid w:val="00FC4D8F"/>
    <w:rsid w:val="00FD06D3"/>
    <w:rsid w:val="00FE3157"/>
    <w:rsid w:val="00FE6865"/>
    <w:rsid w:val="00FE6993"/>
    <w:rsid w:val="2FBA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iPriority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qFormat="1"/>
    <w:lsdException w:name="Normal (Web)" w:semiHidden="0"/>
    <w:lsdException w:name="HTML Preformatted" w:semiHidden="0"/>
    <w:lsdException w:name="Normal Table" w:qFormat="1"/>
    <w:lsdException w:name="Balloon Text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F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60DFC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E60DFC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E60DFC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sid w:val="00E60DFC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E60DFC"/>
    <w:pPr>
      <w:jc w:val="left"/>
    </w:pPr>
    <w:rPr>
      <w:rFonts w:ascii="Calibri" w:eastAsia="宋体" w:hAnsi="Calibri" w:cs="Times New Roman"/>
    </w:rPr>
  </w:style>
  <w:style w:type="paragraph" w:styleId="a5">
    <w:name w:val="Body Text"/>
    <w:basedOn w:val="a"/>
    <w:link w:val="Char1"/>
    <w:uiPriority w:val="1"/>
    <w:qFormat/>
    <w:rsid w:val="00E60DFC"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paragraph" w:styleId="a6">
    <w:name w:val="Balloon Text"/>
    <w:basedOn w:val="a"/>
    <w:link w:val="Char2"/>
    <w:unhideWhenUsed/>
    <w:rsid w:val="00E60DFC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E60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E60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10"/>
    <w:semiHidden/>
    <w:qFormat/>
    <w:rsid w:val="00E60DFC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60D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E60D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E60D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60DFC"/>
    <w:rPr>
      <w:rFonts w:ascii="ˎ̥" w:hAnsi="ˎ̥" w:hint="default"/>
      <w:color w:val="0453CC"/>
      <w:sz w:val="20"/>
      <w:szCs w:val="20"/>
      <w:u w:val="none"/>
    </w:rPr>
  </w:style>
  <w:style w:type="character" w:styleId="ad">
    <w:name w:val="annotation reference"/>
    <w:basedOn w:val="a0"/>
    <w:semiHidden/>
    <w:unhideWhenUsed/>
    <w:qFormat/>
    <w:rsid w:val="00E60DFC"/>
    <w:rPr>
      <w:sz w:val="21"/>
      <w:szCs w:val="21"/>
    </w:rPr>
  </w:style>
  <w:style w:type="character" w:styleId="ae">
    <w:name w:val="footnote reference"/>
    <w:unhideWhenUsed/>
    <w:qFormat/>
    <w:rsid w:val="00E60DFC"/>
    <w:rPr>
      <w:rFonts w:ascii="Times New Roman" w:hAnsi="Times New Roman" w:cs="Times New Roman"/>
      <w:vertAlign w:val="superscript"/>
    </w:rPr>
  </w:style>
  <w:style w:type="character" w:customStyle="1" w:styleId="Char4">
    <w:name w:val="页眉 Char"/>
    <w:basedOn w:val="a0"/>
    <w:link w:val="a8"/>
    <w:uiPriority w:val="99"/>
    <w:rsid w:val="00E60DFC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E60DFC"/>
    <w:rPr>
      <w:sz w:val="18"/>
      <w:szCs w:val="18"/>
    </w:rPr>
  </w:style>
  <w:style w:type="paragraph" w:styleId="af">
    <w:name w:val="List Paragraph"/>
    <w:basedOn w:val="a"/>
    <w:uiPriority w:val="34"/>
    <w:qFormat/>
    <w:rsid w:val="00E60DFC"/>
    <w:pPr>
      <w:ind w:firstLineChars="200" w:firstLine="420"/>
    </w:pPr>
  </w:style>
  <w:style w:type="character" w:customStyle="1" w:styleId="Char2">
    <w:name w:val="批注框文本 Char"/>
    <w:basedOn w:val="a0"/>
    <w:link w:val="a6"/>
    <w:semiHidden/>
    <w:rsid w:val="00E60DFC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E60DFC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E60DFC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rsid w:val="00E60D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semiHidden/>
    <w:qFormat/>
    <w:rsid w:val="00E60DFC"/>
    <w:rPr>
      <w:rFonts w:ascii="Calibri" w:eastAsia="宋体" w:hAnsi="Calibri" w:cs="Times New Roman"/>
    </w:rPr>
  </w:style>
  <w:style w:type="paragraph" w:customStyle="1" w:styleId="10">
    <w:name w:val="修订1"/>
    <w:hidden/>
    <w:uiPriority w:val="99"/>
    <w:semiHidden/>
    <w:qFormat/>
    <w:rsid w:val="00E60DFC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E60DFC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E60DFC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E60DFC"/>
    <w:rPr>
      <w:rFonts w:ascii="仿宋_GB2312" w:eastAsia="仿宋_GB2312" w:hAnsi="Calibri" w:cs="Times New Roman"/>
      <w:sz w:val="30"/>
      <w:szCs w:val="30"/>
    </w:rPr>
  </w:style>
  <w:style w:type="character" w:customStyle="1" w:styleId="Char5">
    <w:name w:val="脚注文本 Char"/>
    <w:basedOn w:val="a0"/>
    <w:uiPriority w:val="99"/>
    <w:semiHidden/>
    <w:qFormat/>
    <w:rsid w:val="00E60DFC"/>
    <w:rPr>
      <w:kern w:val="2"/>
      <w:sz w:val="18"/>
      <w:szCs w:val="18"/>
    </w:rPr>
  </w:style>
  <w:style w:type="character" w:customStyle="1" w:styleId="Char10">
    <w:name w:val="脚注文本 Char1"/>
    <w:basedOn w:val="a0"/>
    <w:link w:val="a9"/>
    <w:semiHidden/>
    <w:qFormat/>
    <w:rsid w:val="00E60DFC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E60DFC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qFormat/>
    <w:rsid w:val="00E60DFC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sid w:val="00E60DFC"/>
    <w:rPr>
      <w:kern w:val="2"/>
      <w:sz w:val="21"/>
      <w:szCs w:val="22"/>
    </w:rPr>
  </w:style>
  <w:style w:type="character" w:customStyle="1" w:styleId="11">
    <w:name w:val="明显强调1"/>
    <w:basedOn w:val="a0"/>
    <w:uiPriority w:val="21"/>
    <w:qFormat/>
    <w:rsid w:val="00E60DFC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rsid w:val="00E60DFC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sid w:val="00E60DFC"/>
    <w:rPr>
      <w:sz w:val="18"/>
      <w:szCs w:val="18"/>
    </w:rPr>
  </w:style>
  <w:style w:type="paragraph" w:customStyle="1" w:styleId="12">
    <w:name w:val="列出段落1"/>
    <w:basedOn w:val="a"/>
    <w:uiPriority w:val="34"/>
    <w:qFormat/>
    <w:rsid w:val="00E60DF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E60DFC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E60DF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rsid w:val="00E60DFC"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Char1">
    <w:name w:val="正文文本 Char"/>
    <w:basedOn w:val="a0"/>
    <w:link w:val="a5"/>
    <w:uiPriority w:val="1"/>
    <w:qFormat/>
    <w:rsid w:val="00E60DFC"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afe.gov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517"/>
    <customShpInfo spid="_x0000_s1518"/>
    <customShpInfo spid="_x0000_s1519"/>
    <customShpInfo spid="_x0000_s1520"/>
    <customShpInfo spid="_x0000_s1521"/>
    <customShpInfo spid="_x0000_s1522"/>
    <customShpInfo spid="_x0000_s1523"/>
    <customShpInfo spid="_x0000_s1524"/>
    <customShpInfo spid="_x0000_s1525"/>
    <customShpInfo spid="_x0000_s1526"/>
    <customShpInfo spid="_x0000_s1527"/>
    <customShpInfo spid="_x0000_s1528"/>
    <customShpInfo spid="_x0000_s1529"/>
    <customShpInfo spid="_x0000_s1530"/>
    <customShpInfo spid="_x0000_s1531"/>
    <customShpInfo spid="_x0000_s1532"/>
    <customShpInfo spid="_x0000_s1533"/>
    <customShpInfo spid="_x0000_s1534"/>
    <customShpInfo spid="_x0000_s1516"/>
    <customShpInfo spid="_x0000_s1515"/>
    <customShpInfo spid="_x0000_s1514"/>
    <customShpInfo spid="_x0000_s1512"/>
  </customShpExts>
</s:customData>
</file>

<file path=customXml/itemProps1.xml><?xml version="1.0" encoding="utf-8"?>
<ds:datastoreItem xmlns:ds="http://schemas.openxmlformats.org/officeDocument/2006/customXml" ds:itemID="{4AABBD3E-97F3-46A0-ACE2-A7D1511FC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461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裴建君2</dc:creator>
  <cp:lastModifiedBy>lenovo</cp:lastModifiedBy>
  <cp:revision>5</cp:revision>
  <cp:lastPrinted>2020-05-08T01:02:00Z</cp:lastPrinted>
  <dcterms:created xsi:type="dcterms:W3CDTF">2021-02-05T07:57:00Z</dcterms:created>
  <dcterms:modified xsi:type="dcterms:W3CDTF">2021-02-25T01:28:00Z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