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FE" w:rsidRDefault="00C56AFE">
      <w:pPr>
        <w:ind w:right="300"/>
        <w:jc w:val="center"/>
        <w:rPr>
          <w:rFonts w:ascii="Times New Roman" w:eastAsia="黑体" w:hAnsi="Times New Roman" w:cs="Times New Roman"/>
          <w:sz w:val="30"/>
          <w:szCs w:val="30"/>
        </w:rPr>
      </w:pPr>
    </w:p>
    <w:p w:rsidR="00C56AFE" w:rsidRDefault="00C56AFE">
      <w:pPr>
        <w:ind w:right="300"/>
        <w:jc w:val="center"/>
        <w:rPr>
          <w:rFonts w:ascii="Times New Roman" w:eastAsia="黑体" w:hAnsi="Times New Roman" w:cs="Times New Roman"/>
          <w:sz w:val="30"/>
          <w:szCs w:val="30"/>
        </w:rPr>
      </w:pPr>
    </w:p>
    <w:p w:rsidR="00C56AFE" w:rsidRDefault="00C56AFE">
      <w:pPr>
        <w:ind w:right="300"/>
        <w:jc w:val="center"/>
        <w:rPr>
          <w:rFonts w:ascii="Times New Roman" w:eastAsia="黑体" w:hAnsi="Times New Roman" w:cs="Times New Roman"/>
          <w:sz w:val="30"/>
          <w:szCs w:val="30"/>
        </w:rPr>
      </w:pPr>
    </w:p>
    <w:p w:rsidR="00C56AFE" w:rsidRDefault="00C56AFE">
      <w:pPr>
        <w:ind w:right="300"/>
        <w:jc w:val="center"/>
        <w:rPr>
          <w:rFonts w:ascii="Times New Roman" w:eastAsia="黑体" w:hAnsi="Times New Roman" w:cs="Times New Roman"/>
          <w:sz w:val="52"/>
          <w:szCs w:val="52"/>
        </w:rPr>
      </w:pPr>
    </w:p>
    <w:p w:rsidR="00C56AFE" w:rsidRDefault="00251ECD">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金融机构外汇与人民币资产不匹配的购汇、结汇审批</w:t>
      </w:r>
      <w:r>
        <w:rPr>
          <w:rFonts w:ascii="Times New Roman" w:eastAsia="黑体" w:hAnsi="Times New Roman" w:cs="Times New Roman"/>
          <w:sz w:val="52"/>
          <w:szCs w:val="52"/>
        </w:rPr>
        <w:t>”</w:t>
      </w:r>
    </w:p>
    <w:p w:rsidR="00C56AFE" w:rsidRDefault="00251ECD">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C56AFE" w:rsidRDefault="00C56AFE">
      <w:pPr>
        <w:ind w:right="300"/>
        <w:jc w:val="center"/>
        <w:rPr>
          <w:rFonts w:ascii="Times New Roman" w:eastAsia="仿宋_GB2312" w:hAnsi="Times New Roman" w:cs="Times New Roman"/>
          <w:sz w:val="30"/>
          <w:szCs w:val="30"/>
        </w:rPr>
      </w:pPr>
    </w:p>
    <w:p w:rsidR="00C56AFE" w:rsidRDefault="00C56AFE">
      <w:pPr>
        <w:ind w:right="300"/>
        <w:jc w:val="center"/>
        <w:rPr>
          <w:rFonts w:ascii="Times New Roman" w:eastAsia="仿宋_GB2312" w:hAnsi="Times New Roman" w:cs="Times New Roman"/>
          <w:sz w:val="30"/>
          <w:szCs w:val="30"/>
        </w:rPr>
      </w:pPr>
    </w:p>
    <w:p w:rsidR="00C56AFE" w:rsidRDefault="00C56AFE">
      <w:pPr>
        <w:ind w:right="300"/>
        <w:jc w:val="center"/>
        <w:rPr>
          <w:rFonts w:ascii="Times New Roman" w:eastAsia="仿宋_GB2312" w:hAnsi="Times New Roman" w:cs="Times New Roman"/>
          <w:sz w:val="30"/>
          <w:szCs w:val="30"/>
        </w:rPr>
      </w:pPr>
    </w:p>
    <w:p w:rsidR="00C56AFE" w:rsidRDefault="00C56AFE">
      <w:pPr>
        <w:ind w:right="300"/>
        <w:jc w:val="center"/>
        <w:rPr>
          <w:rFonts w:ascii="Times New Roman" w:eastAsia="仿宋_GB2312" w:hAnsi="Times New Roman" w:cs="Times New Roman"/>
          <w:sz w:val="30"/>
          <w:szCs w:val="30"/>
        </w:rPr>
      </w:pPr>
    </w:p>
    <w:p w:rsidR="00C56AFE" w:rsidRDefault="00C56AFE">
      <w:pPr>
        <w:ind w:right="300"/>
        <w:jc w:val="center"/>
        <w:rPr>
          <w:rFonts w:ascii="Times New Roman" w:eastAsia="仿宋_GB2312" w:hAnsi="Times New Roman" w:cs="Times New Roman"/>
          <w:sz w:val="30"/>
          <w:szCs w:val="30"/>
        </w:rPr>
      </w:pPr>
    </w:p>
    <w:p w:rsidR="00E010A9" w:rsidRDefault="00E010A9">
      <w:pPr>
        <w:ind w:right="300"/>
        <w:jc w:val="center"/>
        <w:rPr>
          <w:rFonts w:ascii="Times New Roman" w:eastAsia="仿宋_GB2312" w:hAnsi="Times New Roman" w:cs="Times New Roman"/>
          <w:sz w:val="30"/>
          <w:szCs w:val="30"/>
        </w:rPr>
      </w:pPr>
    </w:p>
    <w:p w:rsidR="00E010A9" w:rsidRDefault="00E010A9">
      <w:pPr>
        <w:ind w:right="300"/>
        <w:jc w:val="center"/>
        <w:rPr>
          <w:rFonts w:ascii="Times New Roman" w:eastAsia="仿宋_GB2312" w:hAnsi="Times New Roman" w:cs="Times New Roman"/>
          <w:sz w:val="30"/>
          <w:szCs w:val="30"/>
        </w:rPr>
      </w:pPr>
    </w:p>
    <w:p w:rsidR="00E010A9" w:rsidRDefault="00E010A9">
      <w:pPr>
        <w:ind w:right="300"/>
        <w:jc w:val="center"/>
        <w:rPr>
          <w:rFonts w:ascii="Times New Roman" w:eastAsia="仿宋_GB2312" w:hAnsi="Times New Roman" w:cs="Times New Roman"/>
          <w:sz w:val="30"/>
          <w:szCs w:val="30"/>
        </w:rPr>
      </w:pPr>
    </w:p>
    <w:p w:rsidR="00E010A9" w:rsidRDefault="00E010A9">
      <w:pPr>
        <w:ind w:right="300"/>
        <w:jc w:val="center"/>
        <w:rPr>
          <w:rFonts w:ascii="Times New Roman" w:eastAsia="仿宋_GB2312" w:hAnsi="Times New Roman" w:cs="Times New Roman"/>
          <w:sz w:val="30"/>
          <w:szCs w:val="30"/>
        </w:rPr>
      </w:pPr>
    </w:p>
    <w:p w:rsidR="00C56AFE" w:rsidRDefault="00C56AFE">
      <w:pPr>
        <w:ind w:right="300"/>
        <w:jc w:val="center"/>
        <w:rPr>
          <w:rFonts w:ascii="Times New Roman" w:eastAsia="仿宋_GB2312" w:hAnsi="Times New Roman" w:cs="Times New Roman"/>
          <w:sz w:val="30"/>
          <w:szCs w:val="30"/>
        </w:rPr>
      </w:pPr>
    </w:p>
    <w:p w:rsidR="00C56AFE" w:rsidRDefault="00251ECD">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E010A9">
        <w:rPr>
          <w:rFonts w:ascii="Times New Roman" w:eastAsia="仿宋_GB2312" w:hAnsi="Times New Roman" w:cs="Times New Roman" w:hint="eastAsia"/>
          <w:sz w:val="30"/>
          <w:szCs w:val="30"/>
        </w:rPr>
        <w:t>贵州省分局</w:t>
      </w:r>
    </w:p>
    <w:p w:rsidR="00C56AFE" w:rsidRDefault="00C56AFE">
      <w:pPr>
        <w:ind w:right="300"/>
        <w:rPr>
          <w:rFonts w:ascii="Times New Roman" w:eastAsia="仿宋_GB2312" w:hAnsi="Times New Roman" w:cs="Times New Roman"/>
          <w:sz w:val="30"/>
          <w:szCs w:val="30"/>
        </w:rPr>
      </w:pPr>
    </w:p>
    <w:p w:rsidR="00C56AFE" w:rsidRDefault="00C56AFE">
      <w:pPr>
        <w:ind w:right="300"/>
        <w:rPr>
          <w:rFonts w:ascii="Times New Roman" w:eastAsia="仿宋_GB2312" w:hAnsi="Times New Roman" w:cs="Times New Roman"/>
          <w:sz w:val="30"/>
          <w:szCs w:val="30"/>
        </w:rPr>
        <w:sectPr w:rsidR="00C56A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C56AFE" w:rsidRDefault="00C56AFE">
      <w:pPr>
        <w:ind w:right="300"/>
        <w:jc w:val="left"/>
        <w:rPr>
          <w:rFonts w:ascii="Times New Roman" w:eastAsia="黑体" w:hAnsi="Times New Roman" w:cs="Times New Roman"/>
          <w:sz w:val="48"/>
          <w:szCs w:val="48"/>
        </w:rPr>
        <w:sectPr w:rsidR="00C56AFE">
          <w:footerReference w:type="default" r:id="rId14"/>
          <w:type w:val="continuous"/>
          <w:pgSz w:w="11906" w:h="16838"/>
          <w:pgMar w:top="1440" w:right="1800" w:bottom="1440" w:left="1800" w:header="851" w:footer="992" w:gutter="0"/>
          <w:cols w:space="425"/>
          <w:docGrid w:type="lines" w:linePitch="312"/>
        </w:sectPr>
      </w:pPr>
    </w:p>
    <w:p w:rsidR="00C56AFE" w:rsidRDefault="00251ECD" w:rsidP="00E010A9">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w:t>
      </w:r>
      <w:r w:rsidR="00E010A9">
        <w:rPr>
          <w:rFonts w:ascii="Times New Roman" w:eastAsia="黑体" w:hAnsi="Times New Roman" w:cs="Times New Roman" w:hint="eastAsia"/>
          <w:sz w:val="30"/>
          <w:szCs w:val="30"/>
        </w:rPr>
        <w:t>名称</w:t>
      </w:r>
    </w:p>
    <w:p w:rsidR="00C56AFE" w:rsidRDefault="00251ECD">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金融机构外汇与人民币资产不匹配的购汇、结汇审批；</w:t>
      </w:r>
    </w:p>
    <w:p w:rsidR="00C56AFE" w:rsidRDefault="00251EC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56AFE" w:rsidRDefault="00251EC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银行资本金（或营运资金）本外币转换核准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56AFE" w:rsidRDefault="00251EC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56AFE" w:rsidRDefault="00251EC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56AFE" w:rsidRDefault="00251EC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四、银行资本金（或营运资金）本外币转换核准</w:t>
      </w:r>
    </w:p>
    <w:p w:rsidR="00C56AFE" w:rsidRDefault="00251EC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r>
        <w:rPr>
          <w:rFonts w:ascii="Times New Roman" w:eastAsia="仿宋_GB2312" w:hAnsi="Times New Roman" w:cs="Times New Roman" w:hint="eastAsia"/>
          <w:sz w:val="30"/>
          <w:szCs w:val="30"/>
        </w:rPr>
        <w:t>.</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申请人为银行，需同时符合以下条件：</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完成本外币转换后的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（外汇所有者权益</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外汇营运资金）／外汇资产</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（人民币所有者权益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人民币营运资金）／人民币资产</w:t>
      </w:r>
      <w:r>
        <w:rPr>
          <w:rFonts w:ascii="Times New Roman" w:eastAsia="仿宋_GB2312" w:hAnsi="Times New Roman" w:cs="Times New Roman"/>
          <w:sz w:val="30"/>
          <w:szCs w:val="30"/>
        </w:rPr>
        <w:t>”</w:t>
      </w:r>
      <w:r>
        <w:rPr>
          <w:rFonts w:ascii="Times New Roman" w:eastAsia="仿宋_GB2312" w:hAnsi="Times New Roman" w:cs="Times New Roman"/>
          <w:sz w:val="30"/>
          <w:szCs w:val="30"/>
        </w:rPr>
        <w:t>基本相等。</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新开办外汇业务的中资银行或新开办人民币业务的外资银行，首次可申请将不超过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的资本金进行本外币转换。</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银行购买外汇资本金或外汇营运资金发展外汇业务的，可依据实际需要申请，不受前述第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项条件限制。</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银行业监督管理部门对资本金币种有明确要求或其他特殊情况的，可不受前述第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项条件限制。</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银行申请原则上每年不得超过一次。</w:t>
      </w:r>
    </w:p>
    <w:p w:rsidR="00C56AFE" w:rsidRDefault="00251ECD">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Style w:val="aa"/>
        <w:tblW w:w="0" w:type="auto"/>
        <w:tblLook w:val="04A0"/>
      </w:tblPr>
      <w:tblGrid>
        <w:gridCol w:w="534"/>
        <w:gridCol w:w="4394"/>
        <w:gridCol w:w="1102"/>
        <w:gridCol w:w="457"/>
        <w:gridCol w:w="961"/>
        <w:gridCol w:w="457"/>
        <w:gridCol w:w="497"/>
      </w:tblGrid>
      <w:tr w:rsidR="00C56AFE">
        <w:tc>
          <w:tcPr>
            <w:tcW w:w="534"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394"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102"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1"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497" w:type="dxa"/>
            <w:vAlign w:val="center"/>
          </w:tcPr>
          <w:p w:rsidR="00C56AFE" w:rsidRDefault="00251EC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56AFE">
        <w:tc>
          <w:tcPr>
            <w:tcW w:w="53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39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w:t>
            </w:r>
          </w:p>
        </w:tc>
        <w:tc>
          <w:tcPr>
            <w:tcW w:w="1102"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C56AFE" w:rsidRDefault="00C56AFE">
            <w:pPr>
              <w:jc w:val="center"/>
              <w:rPr>
                <w:rFonts w:ascii="Times New Roman" w:eastAsia="仿宋_GB2312" w:hAnsi="Times New Roman" w:cs="Times New Roman"/>
                <w:sz w:val="24"/>
                <w:szCs w:val="24"/>
              </w:rPr>
            </w:pPr>
          </w:p>
        </w:tc>
        <w:tc>
          <w:tcPr>
            <w:tcW w:w="497" w:type="dxa"/>
            <w:vAlign w:val="center"/>
          </w:tcPr>
          <w:p w:rsidR="00C56AFE" w:rsidRDefault="00C56AFE">
            <w:pPr>
              <w:jc w:val="center"/>
              <w:rPr>
                <w:rFonts w:ascii="Times New Roman" w:eastAsia="仿宋_GB2312" w:hAnsi="Times New Roman" w:cs="Times New Roman"/>
                <w:sz w:val="24"/>
                <w:szCs w:val="24"/>
              </w:rPr>
            </w:pPr>
          </w:p>
        </w:tc>
      </w:tr>
      <w:tr w:rsidR="00C56AFE">
        <w:tc>
          <w:tcPr>
            <w:tcW w:w="53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39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人民币和外币资产负债表</w:t>
            </w:r>
          </w:p>
        </w:tc>
        <w:tc>
          <w:tcPr>
            <w:tcW w:w="1102"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C56AFE" w:rsidRDefault="00C56AFE">
            <w:pPr>
              <w:jc w:val="center"/>
              <w:rPr>
                <w:rFonts w:ascii="Times New Roman" w:eastAsia="仿宋_GB2312" w:hAnsi="Times New Roman" w:cs="Times New Roman"/>
                <w:sz w:val="24"/>
                <w:szCs w:val="24"/>
              </w:rPr>
            </w:pPr>
          </w:p>
        </w:tc>
        <w:tc>
          <w:tcPr>
            <w:tcW w:w="497" w:type="dxa"/>
            <w:vAlign w:val="center"/>
          </w:tcPr>
          <w:p w:rsidR="00C56AFE" w:rsidRDefault="00C56AFE">
            <w:pPr>
              <w:jc w:val="center"/>
              <w:rPr>
                <w:rFonts w:ascii="Times New Roman" w:eastAsia="仿宋_GB2312" w:hAnsi="Times New Roman" w:cs="Times New Roman"/>
                <w:sz w:val="24"/>
                <w:szCs w:val="24"/>
              </w:rPr>
            </w:pPr>
          </w:p>
        </w:tc>
      </w:tr>
      <w:tr w:rsidR="00C56AFE">
        <w:tc>
          <w:tcPr>
            <w:tcW w:w="53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39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本外币转换金额的测算依据</w:t>
            </w:r>
          </w:p>
        </w:tc>
        <w:tc>
          <w:tcPr>
            <w:tcW w:w="1102"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lastRenderedPageBreak/>
              <w:t>电子</w:t>
            </w:r>
          </w:p>
        </w:tc>
        <w:tc>
          <w:tcPr>
            <w:tcW w:w="457" w:type="dxa"/>
            <w:vAlign w:val="center"/>
          </w:tcPr>
          <w:p w:rsidR="00C56AFE" w:rsidRDefault="00C56AFE">
            <w:pPr>
              <w:jc w:val="center"/>
              <w:rPr>
                <w:rFonts w:ascii="Times New Roman" w:eastAsia="仿宋_GB2312" w:hAnsi="Times New Roman" w:cs="Times New Roman"/>
                <w:sz w:val="24"/>
                <w:szCs w:val="24"/>
              </w:rPr>
            </w:pPr>
          </w:p>
        </w:tc>
        <w:tc>
          <w:tcPr>
            <w:tcW w:w="497" w:type="dxa"/>
            <w:vAlign w:val="center"/>
          </w:tcPr>
          <w:p w:rsidR="00C56AFE" w:rsidRDefault="00C56AFE">
            <w:pPr>
              <w:jc w:val="center"/>
              <w:rPr>
                <w:rFonts w:ascii="Times New Roman" w:eastAsia="仿宋_GB2312" w:hAnsi="Times New Roman" w:cs="Times New Roman"/>
                <w:sz w:val="24"/>
                <w:szCs w:val="24"/>
              </w:rPr>
            </w:pPr>
          </w:p>
        </w:tc>
      </w:tr>
      <w:tr w:rsidR="00C56AFE">
        <w:tc>
          <w:tcPr>
            <w:tcW w:w="53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4394"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相关交易需经银行业监督管理部门批准的，应提供相应批准文件的复印件</w:t>
            </w:r>
          </w:p>
        </w:tc>
        <w:tc>
          <w:tcPr>
            <w:tcW w:w="1102"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C56AFE" w:rsidRDefault="00251EC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57" w:type="dxa"/>
            <w:vAlign w:val="center"/>
          </w:tcPr>
          <w:p w:rsidR="00C56AFE" w:rsidRDefault="00C56AFE">
            <w:pPr>
              <w:jc w:val="center"/>
              <w:rPr>
                <w:rFonts w:ascii="Times New Roman" w:eastAsia="仿宋_GB2312" w:hAnsi="Times New Roman" w:cs="Times New Roman"/>
                <w:sz w:val="24"/>
                <w:szCs w:val="24"/>
              </w:rPr>
            </w:pPr>
          </w:p>
        </w:tc>
        <w:tc>
          <w:tcPr>
            <w:tcW w:w="497" w:type="dxa"/>
            <w:vAlign w:val="center"/>
          </w:tcPr>
          <w:p w:rsidR="00C56AFE" w:rsidRDefault="00C56AFE">
            <w:pPr>
              <w:jc w:val="center"/>
              <w:rPr>
                <w:rFonts w:ascii="Times New Roman" w:eastAsia="仿宋_GB2312" w:hAnsi="Times New Roman" w:cs="Times New Roman"/>
                <w:sz w:val="24"/>
                <w:szCs w:val="24"/>
              </w:rPr>
            </w:pPr>
          </w:p>
        </w:tc>
      </w:tr>
    </w:tbl>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C56AFE" w:rsidRDefault="00251EC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申请人可通过窗口、邮寄、国家外汇管理局政务服务网上办理系统等方式提交材料。</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C56AFE" w:rsidRDefault="00251ECD">
      <w:pPr>
        <w:adjustRightInd w:val="0"/>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决定是否予以受理；</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材料不全或不符合法定形式的，一次性告知补正材料，并出具《行政许可补正通知书》。</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C56AFE" w:rsidRDefault="00251ECD">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一般程序：申请、受理、审查、决定、出具正式公文。</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C56AFE" w:rsidRDefault="00251EC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C56AFE" w:rsidRDefault="00251EC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C56AFE" w:rsidRDefault="00251EC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C56AFE" w:rsidRDefault="00251EC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C56AFE" w:rsidRDefault="00251EC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w:t>
      </w:r>
    </w:p>
    <w:p w:rsidR="00C56AFE" w:rsidRDefault="00251ECD">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C56AFE" w:rsidRDefault="00251EC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通过现场告知或电话通知申请人，并通过现场领取或邮寄方式将结果送达。</w:t>
      </w:r>
    </w:p>
    <w:p w:rsidR="00C56AFE" w:rsidRDefault="00251ECD">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C56AFE" w:rsidRDefault="00251ECD">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C56AFE" w:rsidRDefault="00251ECD">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C56AFE" w:rsidRDefault="00251ECD">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r>
        <w:rPr>
          <w:rFonts w:ascii="Times New Roman" w:eastAsia="仿宋_GB2312" w:hAnsi="Times New Roman" w:cs="Times New Roman" w:hint="eastAsia"/>
          <w:sz w:val="30"/>
          <w:szCs w:val="30"/>
        </w:rPr>
        <w:t>。</w:t>
      </w:r>
    </w:p>
    <w:p w:rsidR="00E010A9" w:rsidRDefault="00251ECD" w:rsidP="00E010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w:t>
      </w:r>
      <w:r w:rsidR="00E010A9">
        <w:rPr>
          <w:rFonts w:ascii="Times New Roman" w:eastAsia="黑体" w:hAnsi="Times New Roman"/>
          <w:sz w:val="30"/>
          <w:szCs w:val="30"/>
        </w:rPr>
        <w:t>办公地址</w:t>
      </w:r>
      <w:r w:rsidR="00E010A9">
        <w:rPr>
          <w:rFonts w:ascii="Times New Roman" w:eastAsia="黑体" w:hAnsi="Times New Roman" w:hint="eastAsia"/>
          <w:sz w:val="30"/>
          <w:szCs w:val="30"/>
        </w:rPr>
        <w:t>、</w:t>
      </w:r>
      <w:r w:rsidR="00E010A9">
        <w:rPr>
          <w:rFonts w:ascii="Times New Roman" w:eastAsia="黑体" w:hAnsi="Times New Roman"/>
          <w:sz w:val="30"/>
          <w:szCs w:val="30"/>
        </w:rPr>
        <w:t>时间</w:t>
      </w:r>
      <w:r w:rsidR="00E010A9">
        <w:rPr>
          <w:rFonts w:ascii="Times New Roman" w:eastAsia="黑体" w:hAnsi="Times New Roman" w:hint="eastAsia"/>
          <w:sz w:val="30"/>
          <w:szCs w:val="30"/>
        </w:rPr>
        <w:t>及咨询、投诉渠道</w:t>
      </w:r>
    </w:p>
    <w:tbl>
      <w:tblPr>
        <w:tblW w:w="9320" w:type="dxa"/>
        <w:tblInd w:w="95" w:type="dxa"/>
        <w:tblLook w:val="04A0"/>
      </w:tblPr>
      <w:tblGrid>
        <w:gridCol w:w="1620"/>
        <w:gridCol w:w="2340"/>
        <w:gridCol w:w="1740"/>
        <w:gridCol w:w="1780"/>
        <w:gridCol w:w="1840"/>
      </w:tblGrid>
      <w:tr w:rsidR="00E010A9" w:rsidRPr="004926CA" w:rsidTr="00AC6D32">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A9" w:rsidRPr="004926CA" w:rsidRDefault="00E010A9"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机构名称</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E010A9" w:rsidRPr="004926CA" w:rsidRDefault="00E010A9"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地址</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010A9" w:rsidRPr="004926CA" w:rsidRDefault="00E010A9"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对外服务时间（工作日）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010A9" w:rsidRPr="004926CA" w:rsidRDefault="00E010A9"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咨询电话</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010A9" w:rsidRPr="004926CA" w:rsidRDefault="00E010A9" w:rsidP="00AC6D32">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监督投诉电话</w:t>
            </w:r>
          </w:p>
        </w:tc>
      </w:tr>
      <w:tr w:rsidR="00E010A9" w:rsidRPr="004926CA" w:rsidTr="00AC6D32">
        <w:trPr>
          <w:trHeight w:val="97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E010A9" w:rsidRPr="004926CA" w:rsidRDefault="00E010A9"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国家外汇管理局贵州省分局</w:t>
            </w:r>
          </w:p>
        </w:tc>
        <w:tc>
          <w:tcPr>
            <w:tcW w:w="2340" w:type="dxa"/>
            <w:tcBorders>
              <w:top w:val="nil"/>
              <w:left w:val="nil"/>
              <w:bottom w:val="single" w:sz="4" w:space="0" w:color="auto"/>
              <w:right w:val="single" w:sz="4" w:space="0" w:color="auto"/>
            </w:tcBorders>
            <w:shd w:val="clear" w:color="auto" w:fill="auto"/>
            <w:vAlign w:val="center"/>
            <w:hideMark/>
          </w:tcPr>
          <w:p w:rsidR="00E010A9" w:rsidRPr="004926CA" w:rsidRDefault="00E010A9"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贵阳市南明区宝山北路2号人民银行贵阳中心支行1007室</w:t>
            </w:r>
          </w:p>
        </w:tc>
        <w:tc>
          <w:tcPr>
            <w:tcW w:w="1740" w:type="dxa"/>
            <w:tcBorders>
              <w:top w:val="nil"/>
              <w:left w:val="nil"/>
              <w:bottom w:val="single" w:sz="4" w:space="0" w:color="auto"/>
              <w:right w:val="single" w:sz="4" w:space="0" w:color="auto"/>
            </w:tcBorders>
            <w:shd w:val="clear" w:color="auto" w:fill="auto"/>
            <w:vAlign w:val="center"/>
            <w:hideMark/>
          </w:tcPr>
          <w:p w:rsidR="00E010A9" w:rsidRPr="004926CA" w:rsidRDefault="00E010A9"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noWrap/>
            <w:vAlign w:val="center"/>
            <w:hideMark/>
          </w:tcPr>
          <w:p w:rsidR="00E010A9" w:rsidRPr="004926CA" w:rsidRDefault="00E010A9"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0851-85650857</w:t>
            </w:r>
          </w:p>
        </w:tc>
        <w:tc>
          <w:tcPr>
            <w:tcW w:w="1840" w:type="dxa"/>
            <w:tcBorders>
              <w:top w:val="nil"/>
              <w:left w:val="nil"/>
              <w:bottom w:val="single" w:sz="4" w:space="0" w:color="auto"/>
              <w:right w:val="single" w:sz="4" w:space="0" w:color="auto"/>
            </w:tcBorders>
            <w:shd w:val="clear" w:color="auto" w:fill="auto"/>
            <w:noWrap/>
            <w:vAlign w:val="center"/>
            <w:hideMark/>
          </w:tcPr>
          <w:p w:rsidR="00E010A9" w:rsidRPr="004926CA" w:rsidRDefault="00E010A9" w:rsidP="00AC6D32">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0851-85650730</w:t>
            </w:r>
          </w:p>
        </w:tc>
      </w:tr>
    </w:tbl>
    <w:p w:rsidR="00E010A9" w:rsidRPr="004926CA" w:rsidRDefault="00E010A9" w:rsidP="00E010A9">
      <w:pPr>
        <w:ind w:firstLineChars="200" w:firstLine="600"/>
        <w:rPr>
          <w:rFonts w:ascii="Times New Roman" w:eastAsia="仿宋_GB2312" w:hAnsi="Times New Roman" w:cs="Times New Roman"/>
          <w:sz w:val="30"/>
          <w:szCs w:val="30"/>
        </w:rPr>
      </w:pPr>
      <w:r>
        <w:rPr>
          <w:rFonts w:ascii="Times New Roman" w:eastAsia="仿宋_GB2312" w:hAnsi="Times New Roman" w:hint="eastAsia"/>
          <w:sz w:val="30"/>
          <w:szCs w:val="30"/>
        </w:rPr>
        <w:t>注：</w:t>
      </w:r>
      <w:r>
        <w:rPr>
          <w:rFonts w:ascii="Times New Roman" w:eastAsia="仿宋_GB2312" w:hAnsi="Times New Roman"/>
          <w:sz w:val="30"/>
          <w:szCs w:val="30"/>
        </w:rPr>
        <w:t>向各地外汇局进行咨询、进程查询、监督和投诉等可通过各</w:t>
      </w:r>
      <w:r>
        <w:rPr>
          <w:rFonts w:ascii="Times New Roman" w:eastAsia="仿宋_GB2312" w:hAnsi="Times New Roman" w:cs="Times New Roman"/>
          <w:sz w:val="30"/>
          <w:szCs w:val="30"/>
        </w:rPr>
        <w:t>地外汇局官方互联网站的相应栏目进行。网址可通过</w:t>
      </w:r>
      <w:hyperlink r:id="rId15" w:history="1">
        <w:r>
          <w:rPr>
            <w:rStyle w:val="ab"/>
            <w:rFonts w:ascii="Times New Roman" w:eastAsia="仿宋_GB2312" w:hAnsi="Times New Roman" w:cs="Times New Roman"/>
            <w:sz w:val="30"/>
            <w:szCs w:val="30"/>
          </w:rPr>
          <w:t>www.safe.gov.cn</w:t>
        </w:r>
      </w:hyperlink>
      <w:r>
        <w:rPr>
          <w:rFonts w:ascii="Times New Roman" w:eastAsia="仿宋_GB2312" w:hAnsi="Times New Roman" w:cs="Times New Roman"/>
          <w:sz w:val="30"/>
          <w:szCs w:val="30"/>
        </w:rPr>
        <w:t>进行链接，也可通过各外汇局官方互联网站上公布的电话进行。通过国家外汇管理局政务服务网上办理系统提交申请的，可在该系统内进行查询。</w:t>
      </w:r>
    </w:p>
    <w:p w:rsidR="00C56AFE" w:rsidRDefault="00251ECD" w:rsidP="00E010A9">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C56AFE" w:rsidRDefault="00251ECD">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C56AFE" w:rsidRDefault="00251ECD" w:rsidP="00E010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（十八）申请材料示范文本</w:t>
      </w:r>
    </w:p>
    <w:p w:rsidR="00C56AFE" w:rsidRDefault="00251EC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无固定格式。有关内容要求详见（六）申请材料。</w:t>
      </w:r>
    </w:p>
    <w:p w:rsidR="00C56AFE" w:rsidRDefault="00251ECD">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w:t>
      </w:r>
      <w:r w:rsidR="00E010A9">
        <w:rPr>
          <w:rFonts w:ascii="Times New Roman" w:eastAsia="黑体" w:hAnsi="Times New Roman" w:cs="Times New Roman" w:hint="eastAsia"/>
          <w:sz w:val="30"/>
          <w:szCs w:val="30"/>
        </w:rPr>
        <w:t>十九</w:t>
      </w:r>
      <w:r>
        <w:rPr>
          <w:rFonts w:ascii="Times New Roman" w:eastAsia="黑体" w:hAnsi="Times New Roman" w:cs="Times New Roman"/>
          <w:sz w:val="30"/>
          <w:szCs w:val="30"/>
        </w:rPr>
        <w:t>）常见问题解答</w:t>
      </w:r>
    </w:p>
    <w:p w:rsidR="00C56AFE" w:rsidRDefault="00251EC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w:t>
      </w:r>
    </w:p>
    <w:p w:rsidR="00C56AFE" w:rsidRDefault="00E010A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w:t>
      </w:r>
      <w:r w:rsidR="00251ECD">
        <w:rPr>
          <w:rFonts w:ascii="Times New Roman" w:eastAsia="黑体" w:hAnsi="Times New Roman" w:cs="Times New Roman"/>
          <w:sz w:val="30"/>
          <w:szCs w:val="30"/>
        </w:rPr>
        <w:t>）常见错误示例</w:t>
      </w:r>
    </w:p>
    <w:p w:rsidR="00C56AFE" w:rsidRDefault="00251EC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申请材料要件不全，例如没有银监部门批准件复印件等。</w:t>
      </w:r>
    </w:p>
    <w:p w:rsidR="00C56AFE" w:rsidRDefault="00251ECD">
      <w:pPr>
        <w:widowControl/>
        <w:adjustRightInd w:val="0"/>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2F35A4" w:rsidRDefault="002F35A4" w:rsidP="002F35A4">
      <w:pPr>
        <w:ind w:right="300"/>
        <w:jc w:val="center"/>
        <w:rPr>
          <w:rFonts w:ascii="Times New Roman" w:eastAsia="黑体" w:hAnsi="Times New Roman" w:cs="Times New Roman" w:hint="eastAsia"/>
          <w:sz w:val="30"/>
          <w:szCs w:val="30"/>
        </w:rPr>
      </w:pPr>
      <w:r>
        <w:rPr>
          <w:rFonts w:ascii="Times New Roman" w:eastAsia="黑体" w:hAnsi="Times New Roman" w:cs="Times New Roman"/>
          <w:sz w:val="30"/>
          <w:szCs w:val="30"/>
        </w:rPr>
        <w:lastRenderedPageBreak/>
        <w:t>基本流程图</w:t>
      </w:r>
    </w:p>
    <w:p w:rsidR="00B73792" w:rsidRDefault="00B73792" w:rsidP="002F35A4">
      <w:pPr>
        <w:ind w:right="300"/>
        <w:jc w:val="center"/>
        <w:rPr>
          <w:rFonts w:ascii="Times New Roman" w:eastAsia="黑体" w:hAnsi="Times New Roman" w:cs="Times New Roman"/>
          <w:sz w:val="30"/>
          <w:szCs w:val="30"/>
        </w:rPr>
      </w:pPr>
    </w:p>
    <w:p w:rsidR="00C56AFE" w:rsidRDefault="00B73792" w:rsidP="002F35A4">
      <w:pPr>
        <w:ind w:right="300"/>
        <w:jc w:val="center"/>
        <w:rPr>
          <w:rFonts w:ascii="Times New Roman" w:hAnsi="Times New Roman" w:cs="Times New Roman"/>
        </w:rPr>
      </w:pPr>
      <w:r>
        <w:rPr>
          <w:rFonts w:ascii="微软雅黑" w:eastAsia="微软雅黑" w:cs="微软雅黑" w:hint="eastAsia"/>
          <w:noProof/>
          <w:color w:val="004080"/>
          <w:kern w:val="0"/>
          <w:sz w:val="24"/>
          <w:szCs w:val="24"/>
        </w:rPr>
        <w:drawing>
          <wp:inline distT="0" distB="0" distL="0" distR="0">
            <wp:extent cx="5274310" cy="489122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74310" cy="4891220"/>
                    </a:xfrm>
                    <a:prstGeom prst="rect">
                      <a:avLst/>
                    </a:prstGeom>
                    <a:noFill/>
                    <a:ln w="9525">
                      <a:noFill/>
                      <a:miter lim="800000"/>
                      <a:headEnd/>
                      <a:tailEnd/>
                    </a:ln>
                  </pic:spPr>
                </pic:pic>
              </a:graphicData>
            </a:graphic>
          </wp:inline>
        </w:drawing>
      </w:r>
    </w:p>
    <w:sectPr w:rsidR="00C56AFE" w:rsidSect="00C56AFE">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37" w:rsidRDefault="008D7C37" w:rsidP="00C56AFE">
      <w:r>
        <w:separator/>
      </w:r>
    </w:p>
  </w:endnote>
  <w:endnote w:type="continuationSeparator" w:id="1">
    <w:p w:rsidR="008D7C37" w:rsidRDefault="008D7C37" w:rsidP="00C56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FE" w:rsidRDefault="00C56A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9"/>
      <w:docPartObj>
        <w:docPartGallery w:val="AutoText"/>
      </w:docPartObj>
    </w:sdtPr>
    <w:sdtContent>
      <w:p w:rsidR="00C56AFE" w:rsidRDefault="00392B1B">
        <w:pPr>
          <w:pStyle w:val="a6"/>
          <w:jc w:val="center"/>
        </w:pPr>
        <w:r w:rsidRPr="00392B1B">
          <w:fldChar w:fldCharType="begin"/>
        </w:r>
        <w:r w:rsidR="00251ECD">
          <w:instrText xml:space="preserve"> PAGE   \* MERGEFORMAT </w:instrText>
        </w:r>
        <w:r w:rsidRPr="00392B1B">
          <w:fldChar w:fldCharType="separate"/>
        </w:r>
        <w:r w:rsidR="00251ECD">
          <w:rPr>
            <w:lang w:val="zh-CN"/>
          </w:rPr>
          <w:t>1</w:t>
        </w:r>
        <w:r>
          <w:rPr>
            <w:lang w:val="zh-CN"/>
          </w:rPr>
          <w:fldChar w:fldCharType="end"/>
        </w:r>
      </w:p>
    </w:sdtContent>
  </w:sdt>
  <w:p w:rsidR="00C56AFE" w:rsidRDefault="00C56AF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FE" w:rsidRDefault="00C56AF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84"/>
      <w:docPartObj>
        <w:docPartGallery w:val="AutoText"/>
      </w:docPartObj>
    </w:sdtPr>
    <w:sdtContent>
      <w:p w:rsidR="00C56AFE" w:rsidRDefault="00392B1B">
        <w:pPr>
          <w:pStyle w:val="a6"/>
          <w:jc w:val="center"/>
        </w:pPr>
        <w:r w:rsidRPr="00392B1B">
          <w:fldChar w:fldCharType="begin"/>
        </w:r>
        <w:r w:rsidR="00251ECD">
          <w:instrText xml:space="preserve"> PAGE   \* MERGEFORMAT </w:instrText>
        </w:r>
        <w:r w:rsidRPr="00392B1B">
          <w:fldChar w:fldCharType="separate"/>
        </w:r>
        <w:r w:rsidR="00251ECD">
          <w:rPr>
            <w:lang w:val="zh-CN"/>
          </w:rPr>
          <w:t>6</w:t>
        </w:r>
        <w:r>
          <w:rPr>
            <w:lang w:val="zh-CN"/>
          </w:rPr>
          <w:fldChar w:fldCharType="end"/>
        </w:r>
      </w:p>
    </w:sdtContent>
  </w:sdt>
  <w:p w:rsidR="00C56AFE" w:rsidRDefault="00C56AF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FE" w:rsidRDefault="00392B1B">
    <w:pPr>
      <w:pStyle w:val="a6"/>
      <w:jc w:val="center"/>
    </w:pPr>
    <w:r>
      <w:fldChar w:fldCharType="begin"/>
    </w:r>
    <w:r w:rsidR="00251ECD">
      <w:instrText xml:space="preserve"> PAGE   \* MERGEFORMAT </w:instrText>
    </w:r>
    <w:r>
      <w:fldChar w:fldCharType="separate"/>
    </w:r>
    <w:r w:rsidR="00B73792" w:rsidRPr="00B73792">
      <w:rPr>
        <w:noProof/>
        <w:lang w:val="zh-CN"/>
      </w:rPr>
      <w:t>7</w:t>
    </w:r>
    <w:r>
      <w:fldChar w:fldCharType="end"/>
    </w:r>
  </w:p>
  <w:p w:rsidR="00C56AFE" w:rsidRDefault="00C56A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37" w:rsidRDefault="008D7C37" w:rsidP="00C56AFE">
      <w:r>
        <w:separator/>
      </w:r>
    </w:p>
  </w:footnote>
  <w:footnote w:type="continuationSeparator" w:id="1">
    <w:p w:rsidR="008D7C37" w:rsidRDefault="008D7C37" w:rsidP="00C56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FE" w:rsidRDefault="00C56AF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FE" w:rsidRDefault="00C56AF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FE" w:rsidRDefault="00C56AF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1ECD"/>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5A4"/>
    <w:rsid w:val="002F3868"/>
    <w:rsid w:val="002F54E5"/>
    <w:rsid w:val="00302119"/>
    <w:rsid w:val="00302E87"/>
    <w:rsid w:val="00305850"/>
    <w:rsid w:val="00310261"/>
    <w:rsid w:val="0031063C"/>
    <w:rsid w:val="00343044"/>
    <w:rsid w:val="00344B01"/>
    <w:rsid w:val="00353AC4"/>
    <w:rsid w:val="00360920"/>
    <w:rsid w:val="003616B4"/>
    <w:rsid w:val="003700DA"/>
    <w:rsid w:val="00392B1B"/>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A7EE3"/>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D7C37"/>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3792"/>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56AFE"/>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10A9"/>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1F75"/>
    <w:rsid w:val="00EF38D0"/>
    <w:rsid w:val="00EF3DDF"/>
    <w:rsid w:val="00EF4A8C"/>
    <w:rsid w:val="00F25B04"/>
    <w:rsid w:val="00F2678C"/>
    <w:rsid w:val="00F27B38"/>
    <w:rsid w:val="00F40278"/>
    <w:rsid w:val="00F41832"/>
    <w:rsid w:val="00F45870"/>
    <w:rsid w:val="00F56988"/>
    <w:rsid w:val="00F620FB"/>
    <w:rsid w:val="00F6571F"/>
    <w:rsid w:val="00F8687E"/>
    <w:rsid w:val="00F90763"/>
    <w:rsid w:val="00F93331"/>
    <w:rsid w:val="00F95549"/>
    <w:rsid w:val="00FA1E24"/>
    <w:rsid w:val="00FA24FB"/>
    <w:rsid w:val="00FA632B"/>
    <w:rsid w:val="00FB38EA"/>
    <w:rsid w:val="00FB5E0F"/>
    <w:rsid w:val="00FB6AFF"/>
    <w:rsid w:val="00FC4D8F"/>
    <w:rsid w:val="00FD06D3"/>
    <w:rsid w:val="00FE3157"/>
    <w:rsid w:val="00FE6865"/>
    <w:rsid w:val="00FE6993"/>
    <w:rsid w:val="7E095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qFormat="1"/>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FE"/>
    <w:pPr>
      <w:widowControl w:val="0"/>
      <w:jc w:val="both"/>
    </w:pPr>
    <w:rPr>
      <w:kern w:val="2"/>
      <w:sz w:val="21"/>
      <w:szCs w:val="22"/>
    </w:rPr>
  </w:style>
  <w:style w:type="paragraph" w:styleId="1">
    <w:name w:val="heading 1"/>
    <w:basedOn w:val="a"/>
    <w:next w:val="a"/>
    <w:link w:val="1Char"/>
    <w:uiPriority w:val="9"/>
    <w:qFormat/>
    <w:rsid w:val="00C56AFE"/>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C56AF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C56AFE"/>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C56AFE"/>
    <w:rPr>
      <w:rFonts w:ascii="宋体"/>
      <w:sz w:val="18"/>
      <w:szCs w:val="18"/>
    </w:rPr>
  </w:style>
  <w:style w:type="paragraph" w:styleId="a4">
    <w:name w:val="annotation text"/>
    <w:basedOn w:val="a"/>
    <w:link w:val="Char0"/>
    <w:uiPriority w:val="99"/>
    <w:unhideWhenUsed/>
    <w:qFormat/>
    <w:rsid w:val="00C56AFE"/>
    <w:pPr>
      <w:jc w:val="left"/>
    </w:pPr>
    <w:rPr>
      <w:rFonts w:ascii="Calibri" w:eastAsia="宋体" w:hAnsi="Calibri" w:cs="Times New Roman"/>
    </w:rPr>
  </w:style>
  <w:style w:type="paragraph" w:styleId="a5">
    <w:name w:val="Balloon Text"/>
    <w:basedOn w:val="a"/>
    <w:link w:val="Char1"/>
    <w:unhideWhenUsed/>
    <w:rsid w:val="00C56AFE"/>
    <w:rPr>
      <w:sz w:val="18"/>
      <w:szCs w:val="18"/>
    </w:rPr>
  </w:style>
  <w:style w:type="paragraph" w:styleId="a6">
    <w:name w:val="footer"/>
    <w:basedOn w:val="a"/>
    <w:link w:val="Char2"/>
    <w:uiPriority w:val="99"/>
    <w:unhideWhenUsed/>
    <w:rsid w:val="00C56AF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56AF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C56AFE"/>
    <w:pPr>
      <w:snapToGrid w:val="0"/>
      <w:jc w:val="left"/>
    </w:pPr>
    <w:rPr>
      <w:rFonts w:ascii="Times New Roman" w:hAnsi="Times New Roman"/>
      <w:sz w:val="18"/>
      <w:szCs w:val="18"/>
    </w:rPr>
  </w:style>
  <w:style w:type="paragraph" w:styleId="HTML">
    <w:name w:val="HTML Preformatted"/>
    <w:basedOn w:val="a"/>
    <w:link w:val="HTMLChar"/>
    <w:uiPriority w:val="99"/>
    <w:unhideWhenUsed/>
    <w:rsid w:val="00C56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C56AFE"/>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C56A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C56AFE"/>
    <w:rPr>
      <w:rFonts w:ascii="ˎ̥" w:hAnsi="ˎ̥" w:hint="default"/>
      <w:color w:val="0453CC"/>
      <w:sz w:val="20"/>
      <w:szCs w:val="20"/>
      <w:u w:val="none"/>
    </w:rPr>
  </w:style>
  <w:style w:type="character" w:styleId="ac">
    <w:name w:val="annotation reference"/>
    <w:basedOn w:val="a0"/>
    <w:semiHidden/>
    <w:unhideWhenUsed/>
    <w:qFormat/>
    <w:rsid w:val="00C56AFE"/>
    <w:rPr>
      <w:sz w:val="21"/>
      <w:szCs w:val="21"/>
    </w:rPr>
  </w:style>
  <w:style w:type="character" w:styleId="ad">
    <w:name w:val="footnote reference"/>
    <w:unhideWhenUsed/>
    <w:qFormat/>
    <w:rsid w:val="00C56AFE"/>
    <w:rPr>
      <w:rFonts w:ascii="Times New Roman" w:hAnsi="Times New Roman" w:cs="Times New Roman"/>
      <w:vertAlign w:val="superscript"/>
    </w:rPr>
  </w:style>
  <w:style w:type="character" w:customStyle="1" w:styleId="Char3">
    <w:name w:val="页眉 Char"/>
    <w:basedOn w:val="a0"/>
    <w:link w:val="a7"/>
    <w:uiPriority w:val="99"/>
    <w:rsid w:val="00C56AFE"/>
    <w:rPr>
      <w:sz w:val="18"/>
      <w:szCs w:val="18"/>
    </w:rPr>
  </w:style>
  <w:style w:type="character" w:customStyle="1" w:styleId="Char2">
    <w:name w:val="页脚 Char"/>
    <w:basedOn w:val="a0"/>
    <w:link w:val="a6"/>
    <w:uiPriority w:val="99"/>
    <w:rsid w:val="00C56AFE"/>
    <w:rPr>
      <w:sz w:val="18"/>
      <w:szCs w:val="18"/>
    </w:rPr>
  </w:style>
  <w:style w:type="paragraph" w:styleId="ae">
    <w:name w:val="List Paragraph"/>
    <w:basedOn w:val="a"/>
    <w:uiPriority w:val="34"/>
    <w:qFormat/>
    <w:rsid w:val="00C56AFE"/>
    <w:pPr>
      <w:ind w:firstLineChars="200" w:firstLine="420"/>
    </w:pPr>
  </w:style>
  <w:style w:type="character" w:customStyle="1" w:styleId="Char1">
    <w:name w:val="批注框文本 Char"/>
    <w:basedOn w:val="a0"/>
    <w:link w:val="a5"/>
    <w:semiHidden/>
    <w:rsid w:val="00C56AFE"/>
    <w:rPr>
      <w:sz w:val="18"/>
      <w:szCs w:val="18"/>
    </w:rPr>
  </w:style>
  <w:style w:type="character" w:customStyle="1" w:styleId="HTMLChar">
    <w:name w:val="HTML 预设格式 Char"/>
    <w:basedOn w:val="a0"/>
    <w:link w:val="HTML"/>
    <w:uiPriority w:val="99"/>
    <w:rsid w:val="00C56AFE"/>
    <w:rPr>
      <w:rFonts w:ascii="宋体" w:eastAsia="宋体" w:hAnsi="宋体" w:cs="宋体"/>
      <w:kern w:val="0"/>
      <w:sz w:val="24"/>
      <w:szCs w:val="24"/>
    </w:rPr>
  </w:style>
  <w:style w:type="paragraph" w:customStyle="1" w:styleId="Default">
    <w:name w:val="Default"/>
    <w:uiPriority w:val="99"/>
    <w:qFormat/>
    <w:rsid w:val="00C56AFE"/>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C56AF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C56AFE"/>
    <w:rPr>
      <w:rFonts w:ascii="Calibri" w:eastAsia="宋体" w:hAnsi="Calibri" w:cs="Times New Roman"/>
    </w:rPr>
  </w:style>
  <w:style w:type="paragraph" w:customStyle="1" w:styleId="10">
    <w:name w:val="修订1"/>
    <w:hidden/>
    <w:uiPriority w:val="99"/>
    <w:semiHidden/>
    <w:qFormat/>
    <w:rsid w:val="00C56AFE"/>
    <w:rPr>
      <w:kern w:val="2"/>
      <w:sz w:val="21"/>
      <w:szCs w:val="22"/>
    </w:rPr>
  </w:style>
  <w:style w:type="character" w:customStyle="1" w:styleId="1Char">
    <w:name w:val="标题 1 Char"/>
    <w:basedOn w:val="a0"/>
    <w:link w:val="1"/>
    <w:uiPriority w:val="9"/>
    <w:qFormat/>
    <w:rsid w:val="00C56AFE"/>
    <w:rPr>
      <w:rFonts w:ascii="黑体" w:eastAsia="黑体" w:hAnsi="黑体" w:cs="宋体"/>
      <w:color w:val="000000"/>
      <w:kern w:val="0"/>
      <w:sz w:val="30"/>
      <w:szCs w:val="30"/>
    </w:rPr>
  </w:style>
  <w:style w:type="character" w:customStyle="1" w:styleId="2Char">
    <w:name w:val="标题 2 Char"/>
    <w:basedOn w:val="a0"/>
    <w:link w:val="2"/>
    <w:qFormat/>
    <w:rsid w:val="00C56AFE"/>
    <w:rPr>
      <w:rFonts w:ascii="Cambria" w:eastAsia="宋体" w:hAnsi="Cambria" w:cs="Times New Roman"/>
      <w:b/>
      <w:bCs/>
      <w:sz w:val="32"/>
      <w:szCs w:val="32"/>
    </w:rPr>
  </w:style>
  <w:style w:type="character" w:customStyle="1" w:styleId="3Char">
    <w:name w:val="标题 3 Char"/>
    <w:basedOn w:val="a0"/>
    <w:link w:val="3"/>
    <w:uiPriority w:val="9"/>
    <w:qFormat/>
    <w:rsid w:val="00C56AFE"/>
    <w:rPr>
      <w:rFonts w:ascii="仿宋_GB2312" w:eastAsia="仿宋_GB2312" w:hAnsi="Calibri" w:cs="Times New Roman"/>
      <w:sz w:val="30"/>
      <w:szCs w:val="30"/>
    </w:rPr>
  </w:style>
  <w:style w:type="character" w:customStyle="1" w:styleId="Char4">
    <w:name w:val="脚注文本 Char"/>
    <w:basedOn w:val="a0"/>
    <w:uiPriority w:val="99"/>
    <w:semiHidden/>
    <w:qFormat/>
    <w:rsid w:val="00C56AFE"/>
    <w:rPr>
      <w:kern w:val="2"/>
      <w:sz w:val="18"/>
      <w:szCs w:val="18"/>
    </w:rPr>
  </w:style>
  <w:style w:type="character" w:customStyle="1" w:styleId="Char10">
    <w:name w:val="脚注文本 Char1"/>
    <w:basedOn w:val="a0"/>
    <w:link w:val="a8"/>
    <w:semiHidden/>
    <w:qFormat/>
    <w:rsid w:val="00C56AFE"/>
    <w:rPr>
      <w:rFonts w:ascii="Times New Roman" w:hAnsi="Times New Roman"/>
      <w:sz w:val="18"/>
      <w:szCs w:val="18"/>
    </w:rPr>
  </w:style>
  <w:style w:type="character" w:customStyle="1" w:styleId="4CharChar">
    <w:name w:val="标题 4 Char Char"/>
    <w:qFormat/>
    <w:rsid w:val="00C56AFE"/>
    <w:rPr>
      <w:rFonts w:ascii="Calibri" w:hAnsi="Calibri"/>
      <w:b/>
      <w:bCs/>
      <w:sz w:val="28"/>
      <w:szCs w:val="28"/>
      <w:lang w:eastAsia="en-US" w:bidi="en-US"/>
    </w:rPr>
  </w:style>
  <w:style w:type="character" w:customStyle="1" w:styleId="Char">
    <w:name w:val="文档结构图 Char"/>
    <w:basedOn w:val="a0"/>
    <w:link w:val="a3"/>
    <w:qFormat/>
    <w:rsid w:val="00C56AFE"/>
    <w:rPr>
      <w:rFonts w:ascii="宋体"/>
      <w:sz w:val="18"/>
      <w:szCs w:val="18"/>
    </w:rPr>
  </w:style>
  <w:style w:type="character" w:customStyle="1" w:styleId="Char11">
    <w:name w:val="批注文字 Char1"/>
    <w:basedOn w:val="a0"/>
    <w:uiPriority w:val="99"/>
    <w:semiHidden/>
    <w:qFormat/>
    <w:rsid w:val="00C56AFE"/>
    <w:rPr>
      <w:kern w:val="2"/>
      <w:sz w:val="21"/>
      <w:szCs w:val="22"/>
    </w:rPr>
  </w:style>
  <w:style w:type="character" w:customStyle="1" w:styleId="11">
    <w:name w:val="明显强调1"/>
    <w:basedOn w:val="a0"/>
    <w:uiPriority w:val="21"/>
    <w:qFormat/>
    <w:rsid w:val="00C56AFE"/>
    <w:rPr>
      <w:b/>
      <w:bCs/>
      <w:i/>
      <w:iCs/>
      <w:color w:val="4F81BD"/>
    </w:rPr>
  </w:style>
  <w:style w:type="character" w:customStyle="1" w:styleId="Char12">
    <w:name w:val="文档结构图 Char1"/>
    <w:basedOn w:val="a0"/>
    <w:uiPriority w:val="99"/>
    <w:semiHidden/>
    <w:qFormat/>
    <w:rsid w:val="00C56AFE"/>
    <w:rPr>
      <w:rFonts w:ascii="宋体" w:eastAsia="宋体"/>
      <w:sz w:val="18"/>
      <w:szCs w:val="18"/>
    </w:rPr>
  </w:style>
  <w:style w:type="character" w:customStyle="1" w:styleId="Char20">
    <w:name w:val="脚注文本 Char2"/>
    <w:basedOn w:val="a0"/>
    <w:uiPriority w:val="99"/>
    <w:semiHidden/>
    <w:qFormat/>
    <w:rsid w:val="00C56AFE"/>
    <w:rPr>
      <w:sz w:val="18"/>
      <w:szCs w:val="18"/>
    </w:rPr>
  </w:style>
  <w:style w:type="paragraph" w:customStyle="1" w:styleId="12">
    <w:name w:val="列出段落1"/>
    <w:basedOn w:val="a"/>
    <w:uiPriority w:val="34"/>
    <w:qFormat/>
    <w:rsid w:val="00C56AFE"/>
    <w:pPr>
      <w:ind w:firstLineChars="200" w:firstLine="420"/>
    </w:pPr>
    <w:rPr>
      <w:rFonts w:ascii="Calibri" w:eastAsia="宋体" w:hAnsi="Calibri" w:cs="Times New Roman"/>
    </w:rPr>
  </w:style>
  <w:style w:type="paragraph" w:customStyle="1" w:styleId="4">
    <w:name w:val="列出段落4"/>
    <w:basedOn w:val="a"/>
    <w:qFormat/>
    <w:rsid w:val="00C56AFE"/>
    <w:pPr>
      <w:ind w:firstLineChars="200" w:firstLine="200"/>
    </w:pPr>
    <w:rPr>
      <w:rFonts w:ascii="Calibri" w:eastAsia="宋体" w:hAnsi="Calibri" w:cs="Times New Roman"/>
    </w:rPr>
  </w:style>
  <w:style w:type="paragraph" w:customStyle="1" w:styleId="30">
    <w:name w:val="列出段落3"/>
    <w:basedOn w:val="a"/>
    <w:qFormat/>
    <w:rsid w:val="00C56AFE"/>
    <w:pPr>
      <w:ind w:firstLineChars="200" w:firstLine="420"/>
    </w:pPr>
    <w:rPr>
      <w:rFonts w:ascii="Times New Roman" w:eastAsia="宋体" w:hAnsi="Times New Roman" w:cs="Times New Roman"/>
      <w:szCs w:val="24"/>
    </w:rPr>
  </w:style>
  <w:style w:type="paragraph" w:customStyle="1" w:styleId="p0">
    <w:name w:val="p0"/>
    <w:basedOn w:val="a"/>
    <w:qFormat/>
    <w:rsid w:val="00C56AFE"/>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fe.gov.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08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91983-EB96-4085-9D81-7BD4E1BA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lenovo</cp:lastModifiedBy>
  <cp:revision>6</cp:revision>
  <cp:lastPrinted>2021-02-05T08:39:00Z</cp:lastPrinted>
  <dcterms:created xsi:type="dcterms:W3CDTF">2021-02-05T07:46:00Z</dcterms:created>
  <dcterms:modified xsi:type="dcterms:W3CDTF">2021-02-25T01:28:00Z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