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5D" w:rsidRDefault="00337D5D">
      <w:pPr>
        <w:ind w:right="300"/>
        <w:jc w:val="center"/>
        <w:rPr>
          <w:rFonts w:ascii="Times New Roman" w:eastAsia="黑体" w:hAnsi="Times New Roman" w:cs="Times New Roman"/>
          <w:sz w:val="30"/>
          <w:szCs w:val="30"/>
        </w:rPr>
      </w:pPr>
    </w:p>
    <w:p w:rsidR="00337D5D" w:rsidRDefault="00337D5D">
      <w:pPr>
        <w:ind w:right="300"/>
        <w:jc w:val="center"/>
        <w:rPr>
          <w:rFonts w:ascii="Times New Roman" w:eastAsia="黑体" w:hAnsi="Times New Roman" w:cs="Times New Roman"/>
          <w:sz w:val="30"/>
          <w:szCs w:val="30"/>
        </w:rPr>
      </w:pPr>
    </w:p>
    <w:p w:rsidR="00337D5D" w:rsidRDefault="00337D5D">
      <w:pPr>
        <w:ind w:right="300"/>
        <w:jc w:val="center"/>
        <w:rPr>
          <w:rFonts w:ascii="Times New Roman" w:eastAsia="黑体" w:hAnsi="Times New Roman" w:cs="Times New Roman"/>
          <w:sz w:val="30"/>
          <w:szCs w:val="30"/>
        </w:rPr>
      </w:pPr>
    </w:p>
    <w:p w:rsidR="00337D5D" w:rsidRDefault="00337D5D">
      <w:pPr>
        <w:ind w:right="300"/>
        <w:jc w:val="center"/>
        <w:rPr>
          <w:rFonts w:ascii="Times New Roman" w:eastAsia="黑体" w:hAnsi="Times New Roman" w:cs="Times New Roman"/>
          <w:sz w:val="52"/>
          <w:szCs w:val="52"/>
        </w:rPr>
      </w:pPr>
    </w:p>
    <w:p w:rsidR="00337D5D" w:rsidRDefault="0048502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337D5D" w:rsidRDefault="0048502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337D5D" w:rsidRDefault="00337D5D">
      <w:pPr>
        <w:ind w:right="300"/>
        <w:jc w:val="center"/>
        <w:rPr>
          <w:rFonts w:ascii="Times New Roman" w:eastAsia="仿宋_GB2312" w:hAnsi="Times New Roman" w:cs="Times New Roman"/>
          <w:sz w:val="30"/>
          <w:szCs w:val="30"/>
        </w:rPr>
      </w:pPr>
    </w:p>
    <w:p w:rsidR="00337D5D" w:rsidRDefault="00337D5D">
      <w:pPr>
        <w:ind w:right="300"/>
        <w:jc w:val="center"/>
        <w:rPr>
          <w:rFonts w:ascii="Times New Roman" w:eastAsia="仿宋_GB2312" w:hAnsi="Times New Roman" w:cs="Times New Roman"/>
          <w:sz w:val="30"/>
          <w:szCs w:val="30"/>
        </w:rPr>
      </w:pPr>
    </w:p>
    <w:p w:rsidR="00337D5D" w:rsidRDefault="00337D5D">
      <w:pPr>
        <w:ind w:right="300"/>
        <w:jc w:val="center"/>
        <w:rPr>
          <w:rFonts w:ascii="Times New Roman" w:eastAsia="仿宋_GB2312" w:hAnsi="Times New Roman" w:cs="Times New Roman"/>
          <w:sz w:val="30"/>
          <w:szCs w:val="30"/>
        </w:rPr>
      </w:pPr>
    </w:p>
    <w:p w:rsidR="00337D5D" w:rsidRDefault="00337D5D">
      <w:pPr>
        <w:ind w:right="300"/>
        <w:jc w:val="center"/>
        <w:rPr>
          <w:rFonts w:ascii="Times New Roman" w:eastAsia="仿宋_GB2312" w:hAnsi="Times New Roman" w:cs="Times New Roman"/>
          <w:sz w:val="30"/>
          <w:szCs w:val="30"/>
        </w:rPr>
      </w:pPr>
    </w:p>
    <w:p w:rsidR="00337D5D" w:rsidRDefault="00337D5D">
      <w:pPr>
        <w:ind w:right="300"/>
        <w:jc w:val="center"/>
        <w:rPr>
          <w:rFonts w:ascii="Times New Roman" w:eastAsia="仿宋_GB2312" w:hAnsi="Times New Roman" w:cs="Times New Roman"/>
          <w:sz w:val="30"/>
          <w:szCs w:val="30"/>
        </w:rPr>
      </w:pPr>
    </w:p>
    <w:p w:rsidR="00AE347B" w:rsidRDefault="00AE347B">
      <w:pPr>
        <w:ind w:right="300"/>
        <w:jc w:val="center"/>
        <w:rPr>
          <w:rFonts w:ascii="Times New Roman" w:eastAsia="仿宋_GB2312" w:hAnsi="Times New Roman" w:cs="Times New Roman"/>
          <w:sz w:val="30"/>
          <w:szCs w:val="30"/>
        </w:rPr>
      </w:pPr>
    </w:p>
    <w:p w:rsidR="00AE347B" w:rsidRDefault="00AE347B">
      <w:pPr>
        <w:ind w:right="300"/>
        <w:jc w:val="center"/>
        <w:rPr>
          <w:rFonts w:ascii="Times New Roman" w:eastAsia="仿宋_GB2312" w:hAnsi="Times New Roman" w:cs="Times New Roman"/>
          <w:sz w:val="30"/>
          <w:szCs w:val="30"/>
        </w:rPr>
      </w:pPr>
    </w:p>
    <w:p w:rsidR="00AE347B" w:rsidRDefault="00AE347B">
      <w:pPr>
        <w:ind w:right="300"/>
        <w:jc w:val="center"/>
        <w:rPr>
          <w:rFonts w:ascii="Times New Roman" w:eastAsia="仿宋_GB2312" w:hAnsi="Times New Roman" w:cs="Times New Roman"/>
          <w:sz w:val="30"/>
          <w:szCs w:val="30"/>
        </w:rPr>
      </w:pPr>
    </w:p>
    <w:p w:rsidR="00337D5D" w:rsidRDefault="00337D5D">
      <w:pPr>
        <w:ind w:right="300"/>
        <w:jc w:val="center"/>
        <w:rPr>
          <w:rFonts w:ascii="Times New Roman" w:eastAsia="仿宋_GB2312" w:hAnsi="Times New Roman" w:cs="Times New Roman"/>
          <w:sz w:val="30"/>
          <w:szCs w:val="30"/>
        </w:rPr>
      </w:pPr>
    </w:p>
    <w:p w:rsidR="00337D5D" w:rsidRDefault="0048502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AE347B">
        <w:rPr>
          <w:rFonts w:ascii="Times New Roman" w:eastAsia="仿宋_GB2312" w:hAnsi="Times New Roman" w:cs="Times New Roman" w:hint="eastAsia"/>
          <w:sz w:val="30"/>
          <w:szCs w:val="30"/>
        </w:rPr>
        <w:t>贵州省分局</w:t>
      </w:r>
    </w:p>
    <w:p w:rsidR="00337D5D" w:rsidRDefault="00337D5D">
      <w:pPr>
        <w:ind w:right="300"/>
        <w:rPr>
          <w:rFonts w:ascii="Times New Roman" w:eastAsia="仿宋_GB2312" w:hAnsi="Times New Roman" w:cs="Times New Roman"/>
          <w:sz w:val="30"/>
          <w:szCs w:val="30"/>
        </w:rPr>
      </w:pPr>
    </w:p>
    <w:p w:rsidR="00337D5D" w:rsidRDefault="00337D5D">
      <w:pPr>
        <w:ind w:right="300"/>
        <w:rPr>
          <w:rFonts w:ascii="Times New Roman" w:eastAsia="仿宋_GB2312" w:hAnsi="Times New Roman" w:cs="Times New Roman"/>
          <w:sz w:val="30"/>
          <w:szCs w:val="30"/>
        </w:rPr>
        <w:sectPr w:rsidR="00337D5D">
          <w:footerReference w:type="default" r:id="rId8"/>
          <w:pgSz w:w="11906" w:h="16838"/>
          <w:pgMar w:top="1440" w:right="1800" w:bottom="1440" w:left="1800" w:header="851" w:footer="992" w:gutter="0"/>
          <w:cols w:space="425"/>
          <w:docGrid w:type="lines" w:linePitch="312"/>
        </w:sectPr>
      </w:pPr>
    </w:p>
    <w:p w:rsidR="00337D5D" w:rsidRDefault="00485024" w:rsidP="00AE347B">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w:t>
      </w:r>
      <w:r w:rsidR="00AE347B">
        <w:rPr>
          <w:rFonts w:ascii="Times New Roman" w:eastAsia="黑体" w:hAnsi="Times New Roman" w:cs="Times New Roman" w:hint="eastAsia"/>
          <w:sz w:val="30"/>
          <w:szCs w:val="30"/>
        </w:rPr>
        <w:t>名称</w:t>
      </w:r>
    </w:p>
    <w:p w:rsidR="00337D5D" w:rsidRDefault="00485024" w:rsidP="00AE347B">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银行、农村信用社、兑换机构及非金融机构等结汇、售汇业务市场准入、退出审批</w:t>
      </w:r>
    </w:p>
    <w:p w:rsidR="00337D5D" w:rsidRDefault="0048502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337D5D" w:rsidRDefault="0048502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337D5D" w:rsidRDefault="00485024">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337D5D" w:rsidRDefault="0048502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37D5D" w:rsidRDefault="0048502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37D5D" w:rsidRDefault="0048502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四、银行（含农村信用社）人民币与外汇衍生产品业务市场准入</w:t>
      </w:r>
    </w:p>
    <w:p w:rsidR="00337D5D" w:rsidRDefault="0048502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仅适用于总行。</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政策性银行、全国性商业银行决定机构为国家外汇管理局；其他银行决定机构为所在地国家外汇管理局分局（外汇管理部）。外国银行分行视同总行管理。</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申请人需同时符合以下条件：</w:t>
      </w:r>
    </w:p>
    <w:p w:rsidR="00337D5D" w:rsidRDefault="00485024">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2"/>
          <w:sz w:val="30"/>
          <w:szCs w:val="30"/>
        </w:rPr>
        <w:t>取得即期结售汇业务资格。</w:t>
      </w:r>
    </w:p>
    <w:p w:rsidR="00337D5D" w:rsidRDefault="00485024">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有健全的衍生产品交易风险管理制度和内部控制制度及适当的风险识别、计量、管理和交易系统，配备开展衍生产品业务所需要的专业人员。</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符合银行业监督管理部门有关金融衍生产品交易业务资格的规定。</w:t>
      </w:r>
    </w:p>
    <w:p w:rsidR="00337D5D" w:rsidRDefault="00485024">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960"/>
        <w:gridCol w:w="457"/>
        <w:gridCol w:w="851"/>
        <w:gridCol w:w="2977"/>
        <w:gridCol w:w="1064"/>
      </w:tblGrid>
      <w:tr w:rsidR="00337D5D">
        <w:tc>
          <w:tcPr>
            <w:tcW w:w="817"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276"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60"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977"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64" w:type="dxa"/>
            <w:vAlign w:val="center"/>
          </w:tcPr>
          <w:p w:rsidR="00337D5D" w:rsidRDefault="0048502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337D5D">
        <w:tc>
          <w:tcPr>
            <w:tcW w:w="81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76"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申请报告、可行性报告及</w:t>
            </w:r>
            <w:r>
              <w:rPr>
                <w:rFonts w:ascii="Times New Roman" w:eastAsia="仿宋_GB2312" w:hAnsi="Times New Roman" w:cs="Times New Roman"/>
                <w:sz w:val="24"/>
                <w:szCs w:val="24"/>
              </w:rPr>
              <w:lastRenderedPageBreak/>
              <w:t>业务计划书</w:t>
            </w:r>
          </w:p>
        </w:tc>
        <w:tc>
          <w:tcPr>
            <w:tcW w:w="960"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w:t>
            </w:r>
          </w:p>
        </w:tc>
        <w:tc>
          <w:tcPr>
            <w:tcW w:w="45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337D5D" w:rsidRDefault="00337D5D">
            <w:pPr>
              <w:jc w:val="left"/>
              <w:rPr>
                <w:rFonts w:ascii="Times New Roman" w:eastAsia="仿宋_GB2312" w:hAnsi="Times New Roman" w:cs="Times New Roman"/>
                <w:b/>
                <w:bCs/>
                <w:kern w:val="44"/>
                <w:sz w:val="24"/>
                <w:szCs w:val="24"/>
              </w:rPr>
            </w:pPr>
          </w:p>
        </w:tc>
        <w:tc>
          <w:tcPr>
            <w:tcW w:w="1064" w:type="dxa"/>
            <w:vAlign w:val="center"/>
          </w:tcPr>
          <w:p w:rsidR="00337D5D" w:rsidRDefault="00337D5D">
            <w:pPr>
              <w:jc w:val="left"/>
              <w:rPr>
                <w:rFonts w:ascii="Times New Roman" w:eastAsia="仿宋_GB2312" w:hAnsi="Times New Roman" w:cs="Times New Roman"/>
                <w:b/>
                <w:bCs/>
                <w:kern w:val="44"/>
                <w:sz w:val="24"/>
                <w:szCs w:val="24"/>
              </w:rPr>
            </w:pPr>
          </w:p>
        </w:tc>
      </w:tr>
      <w:tr w:rsidR="00337D5D">
        <w:tc>
          <w:tcPr>
            <w:tcW w:w="81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1276"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衍生产品业务内部管理规章制度</w:t>
            </w:r>
          </w:p>
        </w:tc>
        <w:tc>
          <w:tcPr>
            <w:tcW w:w="960"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337D5D" w:rsidRDefault="0048502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应当至少包括以下内容：</w:t>
            </w:r>
          </w:p>
          <w:p w:rsidR="00337D5D" w:rsidRDefault="0048502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．业务操作规程，包括交易受理、客户评估、单证审核等业务流程和操作标准；</w:t>
            </w:r>
            <w:r>
              <w:rPr>
                <w:rFonts w:ascii="Times New Roman" w:eastAsia="仿宋_GB2312" w:hAnsi="Times New Roman" w:cs="Times New Roman"/>
                <w:sz w:val="24"/>
                <w:szCs w:val="24"/>
              </w:rPr>
              <w:t>2</w:t>
            </w:r>
            <w:r>
              <w:rPr>
                <w:rFonts w:ascii="Times New Roman" w:eastAsia="仿宋_GB2312" w:hAnsi="Times New Roman" w:cs="Times New Roman"/>
                <w:sz w:val="24"/>
                <w:szCs w:val="24"/>
              </w:rPr>
              <w:t>．产品定价模型，包括定价方法和各项参数的选取标准及来源；</w:t>
            </w:r>
          </w:p>
          <w:p w:rsidR="00337D5D" w:rsidRDefault="0048502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．风险管理制度，包括风险管理架构、风险模型指标及量化管理指标、风险缓释措施、头寸平盘机制；</w:t>
            </w:r>
            <w:r>
              <w:rPr>
                <w:rFonts w:ascii="Times New Roman" w:eastAsia="仿宋_GB2312" w:hAnsi="Times New Roman" w:cs="Times New Roman"/>
                <w:sz w:val="24"/>
                <w:szCs w:val="24"/>
              </w:rPr>
              <w:t></w:t>
            </w:r>
          </w:p>
          <w:p w:rsidR="00337D5D" w:rsidRDefault="0048502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．会计核算制度，包括科目设置和会计核算方法；</w:t>
            </w:r>
          </w:p>
          <w:p w:rsidR="00337D5D" w:rsidRDefault="0048502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．统计报告制度，包括数据采集渠道和操作程序。</w:t>
            </w:r>
          </w:p>
        </w:tc>
        <w:tc>
          <w:tcPr>
            <w:tcW w:w="1064" w:type="dxa"/>
            <w:vAlign w:val="center"/>
          </w:tcPr>
          <w:p w:rsidR="00337D5D" w:rsidRDefault="0048502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银行应当根据拟开办各类衍生产品业务的实际特征，提交具有针对性与适用性的文件和资料。</w:t>
            </w:r>
          </w:p>
        </w:tc>
      </w:tr>
      <w:tr w:rsidR="00337D5D">
        <w:tc>
          <w:tcPr>
            <w:tcW w:w="81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276"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主管人员和主要交易人员名单、履历。</w:t>
            </w:r>
          </w:p>
        </w:tc>
        <w:tc>
          <w:tcPr>
            <w:tcW w:w="960"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337D5D" w:rsidRDefault="00337D5D">
            <w:pPr>
              <w:jc w:val="center"/>
              <w:rPr>
                <w:rFonts w:ascii="Times New Roman" w:eastAsia="仿宋_GB2312" w:hAnsi="Times New Roman" w:cs="Times New Roman"/>
                <w:b/>
                <w:bCs/>
                <w:kern w:val="44"/>
                <w:sz w:val="24"/>
                <w:szCs w:val="24"/>
              </w:rPr>
            </w:pPr>
          </w:p>
        </w:tc>
        <w:tc>
          <w:tcPr>
            <w:tcW w:w="1064" w:type="dxa"/>
            <w:vAlign w:val="center"/>
          </w:tcPr>
          <w:p w:rsidR="00337D5D" w:rsidRDefault="00337D5D">
            <w:pPr>
              <w:jc w:val="center"/>
              <w:rPr>
                <w:rFonts w:ascii="Times New Roman" w:eastAsia="仿宋_GB2312" w:hAnsi="Times New Roman" w:cs="Times New Roman"/>
                <w:b/>
                <w:bCs/>
                <w:kern w:val="44"/>
                <w:sz w:val="24"/>
                <w:szCs w:val="24"/>
              </w:rPr>
            </w:pPr>
          </w:p>
        </w:tc>
      </w:tr>
      <w:tr w:rsidR="00337D5D">
        <w:tc>
          <w:tcPr>
            <w:tcW w:w="81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276"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符合银行业监督管理部门有关金融衍生产品交易业务资格规定的证明文件。</w:t>
            </w:r>
          </w:p>
        </w:tc>
        <w:tc>
          <w:tcPr>
            <w:tcW w:w="960"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337D5D" w:rsidRDefault="0048502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337D5D" w:rsidRDefault="00337D5D">
            <w:pPr>
              <w:jc w:val="center"/>
              <w:rPr>
                <w:rFonts w:ascii="Times New Roman" w:eastAsia="仿宋_GB2312" w:hAnsi="Times New Roman" w:cs="Times New Roman"/>
                <w:b/>
                <w:bCs/>
                <w:kern w:val="44"/>
                <w:sz w:val="24"/>
                <w:szCs w:val="24"/>
              </w:rPr>
            </w:pPr>
          </w:p>
        </w:tc>
        <w:tc>
          <w:tcPr>
            <w:tcW w:w="1064" w:type="dxa"/>
            <w:vAlign w:val="center"/>
          </w:tcPr>
          <w:p w:rsidR="00337D5D" w:rsidRDefault="00337D5D">
            <w:pPr>
              <w:jc w:val="center"/>
              <w:rPr>
                <w:rFonts w:ascii="Times New Roman" w:eastAsia="仿宋_GB2312" w:hAnsi="Times New Roman" w:cs="Times New Roman"/>
                <w:b/>
                <w:bCs/>
                <w:kern w:val="44"/>
                <w:sz w:val="24"/>
                <w:szCs w:val="24"/>
              </w:rPr>
            </w:pPr>
          </w:p>
        </w:tc>
      </w:tr>
    </w:tbl>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sz w:val="30"/>
          <w:szCs w:val="30"/>
        </w:rPr>
        <w:t>等方式提交材料。</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4.</w:t>
      </w:r>
      <w:r>
        <w:rPr>
          <w:rFonts w:ascii="Times New Roman" w:eastAsia="仿宋_GB2312" w:hAnsi="Times New Roman" w:cs="Times New Roman"/>
          <w:sz w:val="30"/>
          <w:szCs w:val="30"/>
        </w:rPr>
        <w:t>不予许可的，出具不予许可通知书。许可的，向申请人出具正式公文或备案通知书。</w:t>
      </w:r>
    </w:p>
    <w:p w:rsidR="00337D5D" w:rsidRDefault="0048502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337D5D" w:rsidRDefault="0048502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一般程序：申请、受理、审查、出具正式公文或备案通知书。</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337D5D" w:rsidRDefault="0048502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337D5D" w:rsidRDefault="0048502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337D5D" w:rsidRDefault="0048502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337D5D" w:rsidRDefault="0048502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正式公文或备案通知书。</w:t>
      </w:r>
    </w:p>
    <w:p w:rsidR="00337D5D" w:rsidRDefault="0048502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337D5D" w:rsidRDefault="0048502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337D5D" w:rsidRDefault="0048502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AE347B" w:rsidRDefault="00485024" w:rsidP="00AE347B">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cs="Times New Roman"/>
          <w:sz w:val="30"/>
          <w:szCs w:val="30"/>
        </w:rPr>
        <w:t>（十六）</w:t>
      </w:r>
      <w:r w:rsidR="00AE347B">
        <w:rPr>
          <w:rFonts w:ascii="Times New Roman" w:eastAsia="黑体" w:hAnsi="Times New Roman"/>
          <w:sz w:val="30"/>
          <w:szCs w:val="30"/>
        </w:rPr>
        <w:t>办公地址</w:t>
      </w:r>
      <w:r w:rsidR="00AE347B">
        <w:rPr>
          <w:rFonts w:ascii="Times New Roman" w:eastAsia="黑体" w:hAnsi="Times New Roman" w:hint="eastAsia"/>
          <w:sz w:val="30"/>
          <w:szCs w:val="30"/>
        </w:rPr>
        <w:t>、</w:t>
      </w:r>
      <w:r w:rsidR="00AE347B">
        <w:rPr>
          <w:rFonts w:ascii="Times New Roman" w:eastAsia="黑体" w:hAnsi="Times New Roman"/>
          <w:sz w:val="30"/>
          <w:szCs w:val="30"/>
        </w:rPr>
        <w:t>时间</w:t>
      </w:r>
      <w:r w:rsidR="00AE347B">
        <w:rPr>
          <w:rFonts w:ascii="Times New Roman" w:eastAsia="黑体" w:hAnsi="Times New Roman" w:hint="eastAsia"/>
          <w:sz w:val="30"/>
          <w:szCs w:val="30"/>
        </w:rPr>
        <w:t>及咨询、投诉渠道</w:t>
      </w:r>
    </w:p>
    <w:p w:rsidR="00AE347B" w:rsidRDefault="00AE347B" w:rsidP="00AE347B">
      <w:pPr>
        <w:adjustRightInd w:val="0"/>
        <w:snapToGrid w:val="0"/>
        <w:spacing w:line="360" w:lineRule="auto"/>
        <w:ind w:firstLine="600"/>
        <w:rPr>
          <w:rFonts w:ascii="Times New Roman" w:eastAsia="黑体" w:hAnsi="Times New Roman" w:cs="Times New Roman"/>
          <w:sz w:val="30"/>
          <w:szCs w:val="30"/>
        </w:rPr>
      </w:pPr>
    </w:p>
    <w:tbl>
      <w:tblPr>
        <w:tblW w:w="9320" w:type="dxa"/>
        <w:tblInd w:w="95" w:type="dxa"/>
        <w:tblLook w:val="04A0"/>
      </w:tblPr>
      <w:tblGrid>
        <w:gridCol w:w="1620"/>
        <w:gridCol w:w="2340"/>
        <w:gridCol w:w="1740"/>
        <w:gridCol w:w="1780"/>
        <w:gridCol w:w="1840"/>
      </w:tblGrid>
      <w:tr w:rsidR="00AE347B" w:rsidRPr="007B59A4" w:rsidTr="00CC3018">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b/>
                <w:bCs/>
                <w:color w:val="000000"/>
                <w:kern w:val="0"/>
                <w:sz w:val="24"/>
                <w:szCs w:val="24"/>
              </w:rPr>
            </w:pPr>
            <w:r w:rsidRPr="007B59A4">
              <w:rPr>
                <w:rFonts w:ascii="宋体" w:eastAsia="宋体" w:hAnsi="宋体" w:cs="宋体" w:hint="eastAsia"/>
                <w:b/>
                <w:bCs/>
                <w:color w:val="000000"/>
                <w:kern w:val="0"/>
                <w:sz w:val="24"/>
                <w:szCs w:val="24"/>
              </w:rPr>
              <w:lastRenderedPageBreak/>
              <w:t>机构名称</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b/>
                <w:bCs/>
                <w:color w:val="000000"/>
                <w:kern w:val="0"/>
                <w:sz w:val="24"/>
                <w:szCs w:val="24"/>
              </w:rPr>
            </w:pPr>
            <w:r w:rsidRPr="007B59A4">
              <w:rPr>
                <w:rFonts w:ascii="宋体" w:eastAsia="宋体" w:hAnsi="宋体" w:cs="宋体" w:hint="eastAsia"/>
                <w:b/>
                <w:bCs/>
                <w:color w:val="000000"/>
                <w:kern w:val="0"/>
                <w:sz w:val="24"/>
                <w:szCs w:val="24"/>
              </w:rPr>
              <w:t>地址</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b/>
                <w:bCs/>
                <w:color w:val="000000"/>
                <w:kern w:val="0"/>
                <w:sz w:val="24"/>
                <w:szCs w:val="24"/>
              </w:rPr>
            </w:pPr>
            <w:r w:rsidRPr="007B59A4">
              <w:rPr>
                <w:rFonts w:ascii="宋体" w:eastAsia="宋体" w:hAnsi="宋体" w:cs="宋体" w:hint="eastAsia"/>
                <w:b/>
                <w:bCs/>
                <w:color w:val="000000"/>
                <w:kern w:val="0"/>
                <w:sz w:val="24"/>
                <w:szCs w:val="24"/>
              </w:rPr>
              <w:t>对外服务时间（工作日）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b/>
                <w:bCs/>
                <w:color w:val="000000"/>
                <w:kern w:val="0"/>
                <w:sz w:val="24"/>
                <w:szCs w:val="24"/>
              </w:rPr>
            </w:pPr>
            <w:r w:rsidRPr="007B59A4">
              <w:rPr>
                <w:rFonts w:ascii="宋体" w:eastAsia="宋体" w:hAnsi="宋体" w:cs="宋体" w:hint="eastAsia"/>
                <w:b/>
                <w:bCs/>
                <w:color w:val="000000"/>
                <w:kern w:val="0"/>
                <w:sz w:val="24"/>
                <w:szCs w:val="24"/>
              </w:rPr>
              <w:t>咨询电话</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b/>
                <w:bCs/>
                <w:color w:val="000000"/>
                <w:kern w:val="0"/>
                <w:sz w:val="24"/>
                <w:szCs w:val="24"/>
              </w:rPr>
            </w:pPr>
            <w:r w:rsidRPr="007B59A4">
              <w:rPr>
                <w:rFonts w:ascii="宋体" w:eastAsia="宋体" w:hAnsi="宋体" w:cs="宋体" w:hint="eastAsia"/>
                <w:b/>
                <w:bCs/>
                <w:color w:val="000000"/>
                <w:kern w:val="0"/>
                <w:sz w:val="24"/>
                <w:szCs w:val="24"/>
              </w:rPr>
              <w:t>监督投诉电话</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国家外汇管理局贵州省分局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贵阳市南明区宝山北路2号人民银行贵阳中心支行1007室</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0851-85650857</w:t>
            </w:r>
          </w:p>
        </w:tc>
        <w:tc>
          <w:tcPr>
            <w:tcW w:w="1840" w:type="dxa"/>
            <w:tcBorders>
              <w:top w:val="nil"/>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0851-85650730</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国家外汇管理局安顺市中心支局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安顺市塔山东路26号外汇管理科</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0851-33221300</w:t>
            </w:r>
          </w:p>
        </w:tc>
        <w:tc>
          <w:tcPr>
            <w:tcW w:w="18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0851-33324984</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国家外汇管理局六盘水市中心支局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六盘水市钟山区明湖路640号</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8:30-11:50 14:30-17:30</w:t>
            </w:r>
          </w:p>
        </w:tc>
        <w:tc>
          <w:tcPr>
            <w:tcW w:w="178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left"/>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0858-6525379</w:t>
            </w:r>
          </w:p>
        </w:tc>
        <w:tc>
          <w:tcPr>
            <w:tcW w:w="18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left"/>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0858-6525292</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国家外汇管理局黔南州中心支局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都匀市斗篷山路171号人民银行黔南州中心支行703室</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left"/>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0854-8225834</w:t>
            </w:r>
          </w:p>
        </w:tc>
        <w:tc>
          <w:tcPr>
            <w:tcW w:w="1840" w:type="dxa"/>
            <w:tcBorders>
              <w:top w:val="nil"/>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left"/>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0854-8224206</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国家外汇管理局黔西南州中心支局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贵州省兴义市瑞金南路42号人民银行黔西南州中心支行704室</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0859-3223077</w:t>
            </w:r>
          </w:p>
        </w:tc>
        <w:tc>
          <w:tcPr>
            <w:tcW w:w="1840" w:type="dxa"/>
            <w:tcBorders>
              <w:top w:val="nil"/>
              <w:left w:val="nil"/>
              <w:bottom w:val="single" w:sz="4" w:space="0" w:color="auto"/>
              <w:right w:val="single" w:sz="4" w:space="0" w:color="auto"/>
            </w:tcBorders>
            <w:shd w:val="clear" w:color="auto" w:fill="auto"/>
            <w:noWrap/>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0859-3232767</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国家外汇管理局遵义市中心支局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遵义市汇川区北海路66号</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0851-28220102</w:t>
            </w:r>
          </w:p>
        </w:tc>
        <w:tc>
          <w:tcPr>
            <w:tcW w:w="18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0851-28227762</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国家外汇管理局铜仁市中心支局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铜仁市碧江区东太大道355号人民银行铜仁市中心支行504室</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8:40-11:50 14:30-17:20</w:t>
            </w:r>
          </w:p>
        </w:tc>
        <w:tc>
          <w:tcPr>
            <w:tcW w:w="178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0856-5201198</w:t>
            </w:r>
          </w:p>
        </w:tc>
        <w:tc>
          <w:tcPr>
            <w:tcW w:w="18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0856-5200523</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国家外汇管理局毕节市中心支局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贵州省毕节市七星关区解放路6号中国人民银行毕节市中心支行1103室</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0857-8336116</w:t>
            </w:r>
          </w:p>
        </w:tc>
        <w:tc>
          <w:tcPr>
            <w:tcW w:w="18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0857-8336117</w:t>
            </w:r>
          </w:p>
        </w:tc>
      </w:tr>
      <w:tr w:rsidR="00AE347B" w:rsidRPr="007B59A4" w:rsidTr="00CC3018">
        <w:trPr>
          <w:trHeight w:val="97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国家外汇管理局黔东南州中心支局</w:t>
            </w:r>
          </w:p>
        </w:tc>
        <w:tc>
          <w:tcPr>
            <w:tcW w:w="23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黔东南州凯里市博西路6号802室</w:t>
            </w:r>
          </w:p>
        </w:tc>
        <w:tc>
          <w:tcPr>
            <w:tcW w:w="17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8:30-12:00 14:30-17:30</w:t>
            </w:r>
          </w:p>
        </w:tc>
        <w:tc>
          <w:tcPr>
            <w:tcW w:w="178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0855-8061454</w:t>
            </w:r>
          </w:p>
        </w:tc>
        <w:tc>
          <w:tcPr>
            <w:tcW w:w="1840" w:type="dxa"/>
            <w:tcBorders>
              <w:top w:val="nil"/>
              <w:left w:val="nil"/>
              <w:bottom w:val="single" w:sz="4" w:space="0" w:color="auto"/>
              <w:right w:val="single" w:sz="4" w:space="0" w:color="auto"/>
            </w:tcBorders>
            <w:shd w:val="clear" w:color="auto" w:fill="auto"/>
            <w:vAlign w:val="center"/>
            <w:hideMark/>
          </w:tcPr>
          <w:p w:rsidR="00AE347B" w:rsidRPr="007B59A4" w:rsidRDefault="00AE347B" w:rsidP="00CC3018">
            <w:pPr>
              <w:widowControl/>
              <w:jc w:val="center"/>
              <w:rPr>
                <w:rFonts w:ascii="宋体" w:eastAsia="宋体" w:hAnsi="宋体" w:cs="宋体"/>
                <w:color w:val="000000"/>
                <w:kern w:val="0"/>
                <w:sz w:val="24"/>
                <w:szCs w:val="24"/>
              </w:rPr>
            </w:pPr>
            <w:r w:rsidRPr="007B59A4">
              <w:rPr>
                <w:rFonts w:ascii="宋体" w:eastAsia="宋体" w:hAnsi="宋体" w:cs="宋体" w:hint="eastAsia"/>
                <w:color w:val="000000"/>
                <w:kern w:val="0"/>
                <w:sz w:val="24"/>
                <w:szCs w:val="24"/>
              </w:rPr>
              <w:t>0855-8062164</w:t>
            </w:r>
          </w:p>
        </w:tc>
      </w:tr>
    </w:tbl>
    <w:p w:rsidR="00AE347B" w:rsidRDefault="00AE347B" w:rsidP="00AE347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hint="eastAsia"/>
          <w:sz w:val="30"/>
          <w:szCs w:val="30"/>
        </w:rPr>
        <w:t>注：</w:t>
      </w:r>
      <w:r>
        <w:rPr>
          <w:rFonts w:ascii="Times New Roman" w:eastAsia="仿宋_GB2312" w:hAnsi="Times New Roman"/>
          <w:sz w:val="30"/>
          <w:szCs w:val="30"/>
        </w:rPr>
        <w:t>向各地外汇局进行咨询、进程查询、监督和投诉等可通过各</w:t>
      </w:r>
      <w:r>
        <w:rPr>
          <w:rFonts w:ascii="Times New Roman" w:eastAsia="仿宋_GB2312" w:hAnsi="Times New Roman" w:cs="Times New Roman"/>
          <w:sz w:val="30"/>
          <w:szCs w:val="30"/>
        </w:rPr>
        <w:t>地外汇局官方互联网站的相应栏目进行。网址可通过</w:t>
      </w:r>
      <w:hyperlink r:id="rId9" w:history="1">
        <w:r>
          <w:rPr>
            <w:rStyle w:val="ac"/>
            <w:rFonts w:ascii="Times New Roman" w:eastAsia="仿宋_GB2312" w:hAnsi="Times New Roman" w:cs="Times New Roman"/>
            <w:sz w:val="30"/>
            <w:szCs w:val="30"/>
          </w:rPr>
          <w:t>www.safe.gov.cn</w:t>
        </w:r>
      </w:hyperlink>
      <w:r>
        <w:rPr>
          <w:rFonts w:ascii="Times New Roman" w:eastAsia="仿宋_GB2312" w:hAnsi="Times New Roman" w:cs="Times New Roman"/>
          <w:sz w:val="30"/>
          <w:szCs w:val="30"/>
        </w:rPr>
        <w:t>进行链接，也可通过各外汇局官方互联网站上公布的电话进行。通过国家外汇管理局政务服务网上办理系统提交申请的，可在该系统内进行查询。</w:t>
      </w:r>
    </w:p>
    <w:p w:rsidR="00337D5D" w:rsidRDefault="00485024" w:rsidP="00AE347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如符合上述条件，不存在不予许可的情况。</w:t>
      </w:r>
    </w:p>
    <w:p w:rsidR="00337D5D" w:rsidRDefault="00485024" w:rsidP="00AE347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（十八）申请材料示范文本</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无固定格式。有关内容要求详见（六）申请材料。</w:t>
      </w:r>
    </w:p>
    <w:p w:rsidR="00337D5D" w:rsidRDefault="0048502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w:t>
      </w:r>
      <w:r w:rsidR="00AE347B">
        <w:rPr>
          <w:rFonts w:ascii="Times New Roman" w:eastAsia="黑体" w:hAnsi="Times New Roman" w:cs="Times New Roman" w:hint="eastAsia"/>
          <w:sz w:val="30"/>
          <w:szCs w:val="30"/>
        </w:rPr>
        <w:t>十九</w:t>
      </w:r>
      <w:r>
        <w:rPr>
          <w:rFonts w:ascii="Times New Roman" w:eastAsia="黑体" w:hAnsi="Times New Roman" w:cs="Times New Roman"/>
          <w:sz w:val="30"/>
          <w:szCs w:val="30"/>
        </w:rPr>
        <w:t>）常见问题解答</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337D5D" w:rsidRDefault="0048502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（二十）常见错误示例</w:t>
      </w:r>
    </w:p>
    <w:p w:rsidR="00337D5D" w:rsidRDefault="0048502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申请材料不完全符合规定，例如符合银行业监督管理部门有关金融衍生产品交易业务资格规定的证明文件未加盖</w:t>
      </w:r>
      <w:r>
        <w:rPr>
          <w:rFonts w:ascii="Times New Roman" w:eastAsia="仿宋_GB2312" w:hAnsi="Times New Roman" w:cs="Times New Roman" w:hint="eastAsia"/>
          <w:sz w:val="30"/>
          <w:szCs w:val="30"/>
        </w:rPr>
        <w:t>银行</w:t>
      </w:r>
      <w:r>
        <w:rPr>
          <w:rFonts w:ascii="Times New Roman" w:eastAsia="仿宋_GB2312" w:hAnsi="Times New Roman" w:cs="Times New Roman"/>
          <w:sz w:val="30"/>
          <w:szCs w:val="30"/>
        </w:rPr>
        <w:t>公章等。</w:t>
      </w:r>
    </w:p>
    <w:p w:rsidR="00337D5D" w:rsidRDefault="00337D5D">
      <w:pPr>
        <w:ind w:right="300" w:firstLine="600"/>
        <w:rPr>
          <w:rFonts w:ascii="Times New Roman" w:eastAsia="黑体" w:hAnsi="Times New Roman" w:cs="Times New Roman"/>
          <w:sz w:val="30"/>
          <w:szCs w:val="30"/>
        </w:rPr>
      </w:pPr>
    </w:p>
    <w:p w:rsidR="00337D5D" w:rsidRDefault="00337D5D">
      <w:pPr>
        <w:ind w:right="300" w:firstLine="600"/>
        <w:rPr>
          <w:rFonts w:ascii="Times New Roman" w:eastAsia="仿宋_GB2312" w:hAnsi="Times New Roman" w:cs="Times New Roman"/>
          <w:sz w:val="30"/>
          <w:szCs w:val="30"/>
        </w:rPr>
        <w:sectPr w:rsidR="00337D5D">
          <w:footerReference w:type="default" r:id="rId10"/>
          <w:pgSz w:w="11906" w:h="16838"/>
          <w:pgMar w:top="1440" w:right="1800" w:bottom="1440" w:left="1800" w:header="851" w:footer="992" w:gutter="0"/>
          <w:cols w:space="425"/>
          <w:docGrid w:type="lines" w:linePitch="312"/>
        </w:sectPr>
      </w:pPr>
    </w:p>
    <w:p w:rsidR="00D44C68" w:rsidRDefault="00D44C68" w:rsidP="00D44C68">
      <w:pPr>
        <w:ind w:right="3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附录</w:t>
      </w:r>
    </w:p>
    <w:p w:rsidR="00D44C68" w:rsidRDefault="00D44C68" w:rsidP="00D44C68">
      <w:pPr>
        <w:ind w:right="300"/>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基本流程图</w:t>
      </w:r>
    </w:p>
    <w:p w:rsidR="00337D5D" w:rsidRDefault="00337D5D" w:rsidP="00D44C68">
      <w:pPr>
        <w:ind w:right="300"/>
        <w:rPr>
          <w:rFonts w:ascii="Times New Roman" w:hAnsi="Times New Roman" w:cs="Times New Roman"/>
        </w:rPr>
      </w:pPr>
    </w:p>
    <w:p w:rsidR="00D54A07" w:rsidRDefault="001D1FFF" w:rsidP="00D44C68">
      <w:pPr>
        <w:ind w:right="300"/>
        <w:rPr>
          <w:rFonts w:ascii="Times New Roman" w:hAnsi="Times New Roman" w:cs="Times New Roman"/>
        </w:rPr>
      </w:pPr>
      <w:r>
        <w:rPr>
          <w:rFonts w:ascii="微软雅黑" w:eastAsia="微软雅黑" w:cs="微软雅黑" w:hint="eastAsia"/>
          <w:noProof/>
          <w:color w:val="004080"/>
          <w:kern w:val="0"/>
          <w:sz w:val="24"/>
          <w:szCs w:val="24"/>
        </w:rPr>
        <w:drawing>
          <wp:inline distT="0" distB="0" distL="0" distR="0">
            <wp:extent cx="5274310" cy="489207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4310" cy="4892073"/>
                    </a:xfrm>
                    <a:prstGeom prst="rect">
                      <a:avLst/>
                    </a:prstGeom>
                    <a:noFill/>
                    <a:ln w="9525">
                      <a:noFill/>
                      <a:miter lim="800000"/>
                      <a:headEnd/>
                      <a:tailEnd/>
                    </a:ln>
                  </pic:spPr>
                </pic:pic>
              </a:graphicData>
            </a:graphic>
          </wp:inline>
        </w:drawing>
      </w:r>
    </w:p>
    <w:sectPr w:rsidR="00D54A07" w:rsidSect="00337D5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5A2" w:rsidRDefault="004D75A2" w:rsidP="00337D5D">
      <w:r>
        <w:separator/>
      </w:r>
    </w:p>
  </w:endnote>
  <w:endnote w:type="continuationSeparator" w:id="1">
    <w:p w:rsidR="004D75A2" w:rsidRDefault="004D75A2" w:rsidP="00337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5D" w:rsidRDefault="00EE0C29">
    <w:pPr>
      <w:pStyle w:val="a7"/>
      <w:jc w:val="center"/>
    </w:pPr>
    <w:r w:rsidRPr="00EE0C29">
      <w:fldChar w:fldCharType="begin"/>
    </w:r>
    <w:r w:rsidR="00485024">
      <w:instrText xml:space="preserve"> PAGE   \* MERGEFORMAT </w:instrText>
    </w:r>
    <w:r w:rsidRPr="00EE0C29">
      <w:fldChar w:fldCharType="separate"/>
    </w:r>
    <w:r w:rsidR="001D1FFF" w:rsidRPr="001D1FFF">
      <w:rPr>
        <w:noProof/>
        <w:lang w:val="zh-CN"/>
      </w:rPr>
      <w:t>1</w:t>
    </w:r>
    <w:r>
      <w:rPr>
        <w:lang w:val="zh-CN"/>
      </w:rPr>
      <w:fldChar w:fldCharType="end"/>
    </w:r>
  </w:p>
  <w:p w:rsidR="00337D5D" w:rsidRDefault="00337D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5D" w:rsidRDefault="00EE0C29">
    <w:pPr>
      <w:pStyle w:val="a7"/>
      <w:jc w:val="center"/>
    </w:pPr>
    <w:r w:rsidRPr="00EE0C29">
      <w:fldChar w:fldCharType="begin"/>
    </w:r>
    <w:r w:rsidR="00485024">
      <w:instrText xml:space="preserve"> PAGE   \* MERGEFORMAT </w:instrText>
    </w:r>
    <w:r w:rsidRPr="00EE0C29">
      <w:fldChar w:fldCharType="separate"/>
    </w:r>
    <w:r w:rsidR="001D1FFF" w:rsidRPr="001D1FFF">
      <w:rPr>
        <w:noProof/>
        <w:lang w:val="zh-CN"/>
      </w:rPr>
      <w:t>7</w:t>
    </w:r>
    <w:r>
      <w:rPr>
        <w:lang w:val="zh-CN"/>
      </w:rPr>
      <w:fldChar w:fldCharType="end"/>
    </w:r>
  </w:p>
  <w:p w:rsidR="00337D5D" w:rsidRDefault="00337D5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5D" w:rsidRDefault="00EE0C29">
    <w:pPr>
      <w:pStyle w:val="a7"/>
      <w:jc w:val="center"/>
    </w:pPr>
    <w:r>
      <w:fldChar w:fldCharType="begin"/>
    </w:r>
    <w:r w:rsidR="00485024">
      <w:instrText>PAGE   \* MERGEFORMAT</w:instrText>
    </w:r>
    <w:r>
      <w:fldChar w:fldCharType="separate"/>
    </w:r>
    <w:r w:rsidR="001D1FFF" w:rsidRPr="001D1FFF">
      <w:rPr>
        <w:noProof/>
        <w:lang w:val="zh-CN"/>
      </w:rPr>
      <w:t>8</w:t>
    </w:r>
    <w:r>
      <w:fldChar w:fldCharType="end"/>
    </w:r>
  </w:p>
  <w:p w:rsidR="00337D5D" w:rsidRDefault="00337D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5A2" w:rsidRDefault="004D75A2" w:rsidP="00337D5D">
      <w:r>
        <w:separator/>
      </w:r>
    </w:p>
  </w:footnote>
  <w:footnote w:type="continuationSeparator" w:id="1">
    <w:p w:rsidR="004D75A2" w:rsidRDefault="004D75A2" w:rsidP="00337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1FFF"/>
    <w:rsid w:val="001D4C8E"/>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37D5D"/>
    <w:rsid w:val="00343044"/>
    <w:rsid w:val="00344107"/>
    <w:rsid w:val="00344B01"/>
    <w:rsid w:val="00353AC4"/>
    <w:rsid w:val="00356BC8"/>
    <w:rsid w:val="003616B4"/>
    <w:rsid w:val="003642BD"/>
    <w:rsid w:val="00365FCA"/>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85024"/>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4D75A2"/>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8567D"/>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347B"/>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B5DED"/>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44C68"/>
    <w:rsid w:val="00D54A07"/>
    <w:rsid w:val="00D54E56"/>
    <w:rsid w:val="00D6407D"/>
    <w:rsid w:val="00D93E78"/>
    <w:rsid w:val="00DC6E91"/>
    <w:rsid w:val="00DC7514"/>
    <w:rsid w:val="00DD0902"/>
    <w:rsid w:val="00DD3845"/>
    <w:rsid w:val="00DD7AB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0C29"/>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45AB3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5D"/>
    <w:pPr>
      <w:widowControl w:val="0"/>
      <w:jc w:val="both"/>
    </w:pPr>
    <w:rPr>
      <w:kern w:val="2"/>
      <w:sz w:val="21"/>
      <w:szCs w:val="22"/>
    </w:rPr>
  </w:style>
  <w:style w:type="paragraph" w:styleId="1">
    <w:name w:val="heading 1"/>
    <w:basedOn w:val="a"/>
    <w:next w:val="a"/>
    <w:link w:val="1Char"/>
    <w:uiPriority w:val="9"/>
    <w:qFormat/>
    <w:rsid w:val="00337D5D"/>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337D5D"/>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337D5D"/>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337D5D"/>
    <w:rPr>
      <w:rFonts w:ascii="宋体"/>
      <w:sz w:val="18"/>
      <w:szCs w:val="18"/>
    </w:rPr>
  </w:style>
  <w:style w:type="paragraph" w:styleId="a4">
    <w:name w:val="annotation text"/>
    <w:basedOn w:val="a"/>
    <w:link w:val="Char0"/>
    <w:uiPriority w:val="99"/>
    <w:unhideWhenUsed/>
    <w:qFormat/>
    <w:rsid w:val="00337D5D"/>
    <w:pPr>
      <w:jc w:val="left"/>
    </w:pPr>
    <w:rPr>
      <w:rFonts w:ascii="Calibri" w:eastAsia="宋体" w:hAnsi="Calibri" w:cs="Times New Roman"/>
    </w:rPr>
  </w:style>
  <w:style w:type="paragraph" w:styleId="a5">
    <w:name w:val="Body Text"/>
    <w:basedOn w:val="a"/>
    <w:link w:val="Char1"/>
    <w:uiPriority w:val="1"/>
    <w:qFormat/>
    <w:rsid w:val="00337D5D"/>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337D5D"/>
    <w:rPr>
      <w:sz w:val="18"/>
      <w:szCs w:val="18"/>
    </w:rPr>
  </w:style>
  <w:style w:type="paragraph" w:styleId="a7">
    <w:name w:val="footer"/>
    <w:basedOn w:val="a"/>
    <w:link w:val="Char3"/>
    <w:uiPriority w:val="99"/>
    <w:unhideWhenUsed/>
    <w:rsid w:val="00337D5D"/>
    <w:pPr>
      <w:tabs>
        <w:tab w:val="center" w:pos="4153"/>
        <w:tab w:val="right" w:pos="8306"/>
      </w:tabs>
      <w:snapToGrid w:val="0"/>
      <w:jc w:val="left"/>
    </w:pPr>
    <w:rPr>
      <w:sz w:val="18"/>
      <w:szCs w:val="18"/>
    </w:rPr>
  </w:style>
  <w:style w:type="paragraph" w:styleId="a8">
    <w:name w:val="header"/>
    <w:basedOn w:val="a"/>
    <w:link w:val="Char4"/>
    <w:uiPriority w:val="99"/>
    <w:unhideWhenUsed/>
    <w:rsid w:val="00337D5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337D5D"/>
    <w:pPr>
      <w:snapToGrid w:val="0"/>
      <w:jc w:val="left"/>
    </w:pPr>
    <w:rPr>
      <w:rFonts w:ascii="Times New Roman" w:hAnsi="Times New Roman"/>
      <w:sz w:val="18"/>
      <w:szCs w:val="18"/>
    </w:rPr>
  </w:style>
  <w:style w:type="paragraph" w:styleId="HTML">
    <w:name w:val="HTML Preformatted"/>
    <w:basedOn w:val="a"/>
    <w:link w:val="HTMLChar"/>
    <w:uiPriority w:val="99"/>
    <w:unhideWhenUsed/>
    <w:rsid w:val="00337D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unhideWhenUsed/>
    <w:rsid w:val="00337D5D"/>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337D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337D5D"/>
    <w:rPr>
      <w:rFonts w:ascii="ˎ̥" w:hAnsi="ˎ̥" w:hint="default"/>
      <w:color w:val="0453CC"/>
      <w:sz w:val="20"/>
      <w:szCs w:val="20"/>
      <w:u w:val="none"/>
    </w:rPr>
  </w:style>
  <w:style w:type="character" w:styleId="ad">
    <w:name w:val="annotation reference"/>
    <w:basedOn w:val="a0"/>
    <w:semiHidden/>
    <w:unhideWhenUsed/>
    <w:qFormat/>
    <w:rsid w:val="00337D5D"/>
    <w:rPr>
      <w:sz w:val="21"/>
      <w:szCs w:val="21"/>
    </w:rPr>
  </w:style>
  <w:style w:type="character" w:styleId="ae">
    <w:name w:val="footnote reference"/>
    <w:unhideWhenUsed/>
    <w:qFormat/>
    <w:rsid w:val="00337D5D"/>
    <w:rPr>
      <w:rFonts w:ascii="Times New Roman" w:hAnsi="Times New Roman" w:cs="Times New Roman"/>
      <w:vertAlign w:val="superscript"/>
    </w:rPr>
  </w:style>
  <w:style w:type="character" w:customStyle="1" w:styleId="Char4">
    <w:name w:val="页眉 Char"/>
    <w:basedOn w:val="a0"/>
    <w:link w:val="a8"/>
    <w:uiPriority w:val="99"/>
    <w:rsid w:val="00337D5D"/>
    <w:rPr>
      <w:sz w:val="18"/>
      <w:szCs w:val="18"/>
    </w:rPr>
  </w:style>
  <w:style w:type="character" w:customStyle="1" w:styleId="Char3">
    <w:name w:val="页脚 Char"/>
    <w:basedOn w:val="a0"/>
    <w:link w:val="a7"/>
    <w:uiPriority w:val="99"/>
    <w:rsid w:val="00337D5D"/>
    <w:rPr>
      <w:sz w:val="18"/>
      <w:szCs w:val="18"/>
    </w:rPr>
  </w:style>
  <w:style w:type="paragraph" w:styleId="af">
    <w:name w:val="List Paragraph"/>
    <w:basedOn w:val="a"/>
    <w:uiPriority w:val="34"/>
    <w:qFormat/>
    <w:rsid w:val="00337D5D"/>
    <w:pPr>
      <w:ind w:firstLineChars="200" w:firstLine="420"/>
    </w:pPr>
  </w:style>
  <w:style w:type="character" w:customStyle="1" w:styleId="Char2">
    <w:name w:val="批注框文本 Char"/>
    <w:basedOn w:val="a0"/>
    <w:link w:val="a6"/>
    <w:semiHidden/>
    <w:rsid w:val="00337D5D"/>
    <w:rPr>
      <w:sz w:val="18"/>
      <w:szCs w:val="18"/>
    </w:rPr>
  </w:style>
  <w:style w:type="character" w:customStyle="1" w:styleId="HTMLChar">
    <w:name w:val="HTML 预设格式 Char"/>
    <w:basedOn w:val="a0"/>
    <w:link w:val="HTML"/>
    <w:uiPriority w:val="99"/>
    <w:rsid w:val="00337D5D"/>
    <w:rPr>
      <w:rFonts w:ascii="宋体" w:eastAsia="宋体" w:hAnsi="宋体" w:cs="宋体"/>
      <w:kern w:val="0"/>
      <w:sz w:val="24"/>
      <w:szCs w:val="24"/>
    </w:rPr>
  </w:style>
  <w:style w:type="paragraph" w:customStyle="1" w:styleId="Default">
    <w:name w:val="Default"/>
    <w:uiPriority w:val="99"/>
    <w:qFormat/>
    <w:rsid w:val="00337D5D"/>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337D5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337D5D"/>
    <w:rPr>
      <w:rFonts w:ascii="Calibri" w:eastAsia="宋体" w:hAnsi="Calibri" w:cs="Times New Roman"/>
    </w:rPr>
  </w:style>
  <w:style w:type="paragraph" w:customStyle="1" w:styleId="10">
    <w:name w:val="修订1"/>
    <w:hidden/>
    <w:uiPriority w:val="99"/>
    <w:semiHidden/>
    <w:qFormat/>
    <w:rsid w:val="00337D5D"/>
    <w:rPr>
      <w:kern w:val="2"/>
      <w:sz w:val="21"/>
      <w:szCs w:val="22"/>
    </w:rPr>
  </w:style>
  <w:style w:type="character" w:customStyle="1" w:styleId="1Char">
    <w:name w:val="标题 1 Char"/>
    <w:basedOn w:val="a0"/>
    <w:link w:val="1"/>
    <w:uiPriority w:val="9"/>
    <w:qFormat/>
    <w:rsid w:val="00337D5D"/>
    <w:rPr>
      <w:rFonts w:ascii="黑体" w:eastAsia="黑体" w:hAnsi="黑体" w:cs="宋体"/>
      <w:color w:val="000000"/>
      <w:kern w:val="0"/>
      <w:sz w:val="30"/>
      <w:szCs w:val="30"/>
    </w:rPr>
  </w:style>
  <w:style w:type="character" w:customStyle="1" w:styleId="2Char">
    <w:name w:val="标题 2 Char"/>
    <w:basedOn w:val="a0"/>
    <w:link w:val="2"/>
    <w:qFormat/>
    <w:rsid w:val="00337D5D"/>
    <w:rPr>
      <w:rFonts w:ascii="Cambria" w:eastAsia="宋体" w:hAnsi="Cambria" w:cs="Times New Roman"/>
      <w:b/>
      <w:bCs/>
      <w:sz w:val="32"/>
      <w:szCs w:val="32"/>
    </w:rPr>
  </w:style>
  <w:style w:type="character" w:customStyle="1" w:styleId="3Char">
    <w:name w:val="标题 3 Char"/>
    <w:basedOn w:val="a0"/>
    <w:link w:val="3"/>
    <w:uiPriority w:val="9"/>
    <w:qFormat/>
    <w:rsid w:val="00337D5D"/>
    <w:rPr>
      <w:rFonts w:ascii="仿宋_GB2312" w:eastAsia="仿宋_GB2312" w:hAnsi="Calibri" w:cs="Times New Roman"/>
      <w:sz w:val="30"/>
      <w:szCs w:val="30"/>
    </w:rPr>
  </w:style>
  <w:style w:type="character" w:customStyle="1" w:styleId="Char5">
    <w:name w:val="脚注文本 Char"/>
    <w:basedOn w:val="a0"/>
    <w:uiPriority w:val="99"/>
    <w:semiHidden/>
    <w:qFormat/>
    <w:rsid w:val="00337D5D"/>
    <w:rPr>
      <w:kern w:val="2"/>
      <w:sz w:val="18"/>
      <w:szCs w:val="18"/>
    </w:rPr>
  </w:style>
  <w:style w:type="character" w:customStyle="1" w:styleId="Char10">
    <w:name w:val="脚注文本 Char1"/>
    <w:basedOn w:val="a0"/>
    <w:link w:val="a9"/>
    <w:semiHidden/>
    <w:qFormat/>
    <w:rsid w:val="00337D5D"/>
    <w:rPr>
      <w:rFonts w:ascii="Times New Roman" w:hAnsi="Times New Roman"/>
      <w:sz w:val="18"/>
      <w:szCs w:val="18"/>
    </w:rPr>
  </w:style>
  <w:style w:type="character" w:customStyle="1" w:styleId="4CharChar">
    <w:name w:val="标题 4 Char Char"/>
    <w:qFormat/>
    <w:rsid w:val="00337D5D"/>
    <w:rPr>
      <w:rFonts w:ascii="Calibri" w:hAnsi="Calibri"/>
      <w:b/>
      <w:bCs/>
      <w:sz w:val="28"/>
      <w:szCs w:val="28"/>
      <w:lang w:eastAsia="en-US" w:bidi="en-US"/>
    </w:rPr>
  </w:style>
  <w:style w:type="character" w:customStyle="1" w:styleId="Char">
    <w:name w:val="文档结构图 Char"/>
    <w:basedOn w:val="a0"/>
    <w:link w:val="a3"/>
    <w:qFormat/>
    <w:rsid w:val="00337D5D"/>
    <w:rPr>
      <w:rFonts w:ascii="宋体"/>
      <w:sz w:val="18"/>
      <w:szCs w:val="18"/>
    </w:rPr>
  </w:style>
  <w:style w:type="character" w:customStyle="1" w:styleId="Char11">
    <w:name w:val="批注文字 Char1"/>
    <w:basedOn w:val="a0"/>
    <w:uiPriority w:val="99"/>
    <w:semiHidden/>
    <w:qFormat/>
    <w:rsid w:val="00337D5D"/>
    <w:rPr>
      <w:kern w:val="2"/>
      <w:sz w:val="21"/>
      <w:szCs w:val="22"/>
    </w:rPr>
  </w:style>
  <w:style w:type="character" w:customStyle="1" w:styleId="11">
    <w:name w:val="明显强调1"/>
    <w:basedOn w:val="a0"/>
    <w:uiPriority w:val="21"/>
    <w:qFormat/>
    <w:rsid w:val="00337D5D"/>
    <w:rPr>
      <w:b/>
      <w:bCs/>
      <w:i/>
      <w:iCs/>
      <w:color w:val="4F81BD"/>
    </w:rPr>
  </w:style>
  <w:style w:type="character" w:customStyle="1" w:styleId="Char12">
    <w:name w:val="文档结构图 Char1"/>
    <w:basedOn w:val="a0"/>
    <w:uiPriority w:val="99"/>
    <w:semiHidden/>
    <w:qFormat/>
    <w:rsid w:val="00337D5D"/>
    <w:rPr>
      <w:rFonts w:ascii="宋体" w:eastAsia="宋体"/>
      <w:sz w:val="18"/>
      <w:szCs w:val="18"/>
    </w:rPr>
  </w:style>
  <w:style w:type="character" w:customStyle="1" w:styleId="Char20">
    <w:name w:val="脚注文本 Char2"/>
    <w:basedOn w:val="a0"/>
    <w:uiPriority w:val="99"/>
    <w:semiHidden/>
    <w:qFormat/>
    <w:rsid w:val="00337D5D"/>
    <w:rPr>
      <w:sz w:val="18"/>
      <w:szCs w:val="18"/>
    </w:rPr>
  </w:style>
  <w:style w:type="paragraph" w:customStyle="1" w:styleId="12">
    <w:name w:val="列出段落1"/>
    <w:basedOn w:val="a"/>
    <w:uiPriority w:val="34"/>
    <w:qFormat/>
    <w:rsid w:val="00337D5D"/>
    <w:pPr>
      <w:ind w:firstLineChars="200" w:firstLine="420"/>
    </w:pPr>
    <w:rPr>
      <w:rFonts w:ascii="Calibri" w:eastAsia="宋体" w:hAnsi="Calibri" w:cs="Times New Roman"/>
    </w:rPr>
  </w:style>
  <w:style w:type="paragraph" w:customStyle="1" w:styleId="4">
    <w:name w:val="列出段落4"/>
    <w:basedOn w:val="a"/>
    <w:qFormat/>
    <w:rsid w:val="00337D5D"/>
    <w:pPr>
      <w:ind w:firstLineChars="200" w:firstLine="200"/>
    </w:pPr>
    <w:rPr>
      <w:rFonts w:ascii="Calibri" w:eastAsia="宋体" w:hAnsi="Calibri" w:cs="Times New Roman"/>
    </w:rPr>
  </w:style>
  <w:style w:type="paragraph" w:customStyle="1" w:styleId="30">
    <w:name w:val="列出段落3"/>
    <w:basedOn w:val="a"/>
    <w:qFormat/>
    <w:rsid w:val="00337D5D"/>
    <w:pPr>
      <w:ind w:firstLineChars="200" w:firstLine="420"/>
    </w:pPr>
    <w:rPr>
      <w:rFonts w:ascii="Times New Roman" w:eastAsia="宋体" w:hAnsi="Times New Roman" w:cs="Times New Roman"/>
      <w:szCs w:val="24"/>
    </w:rPr>
  </w:style>
  <w:style w:type="paragraph" w:customStyle="1" w:styleId="p0">
    <w:name w:val="p0"/>
    <w:basedOn w:val="a"/>
    <w:qFormat/>
    <w:rsid w:val="00337D5D"/>
    <w:pPr>
      <w:widowControl/>
    </w:pPr>
    <w:rPr>
      <w:rFonts w:ascii="Calibri" w:eastAsia="宋体" w:hAnsi="Calibri" w:cs="宋体"/>
      <w:kern w:val="0"/>
      <w:szCs w:val="21"/>
    </w:rPr>
  </w:style>
  <w:style w:type="character" w:customStyle="1" w:styleId="Char1">
    <w:name w:val="正文文本 Char"/>
    <w:basedOn w:val="a0"/>
    <w:link w:val="a5"/>
    <w:uiPriority w:val="1"/>
    <w:qFormat/>
    <w:rsid w:val="00337D5D"/>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divs>
    <w:div w:id="10694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47"/>
  </customShpExts>
</s:customData>
</file>

<file path=customXml/itemProps1.xml><?xml version="1.0" encoding="utf-8"?>
<ds:datastoreItem xmlns:ds="http://schemas.openxmlformats.org/officeDocument/2006/customXml" ds:itemID="{D9278815-C19E-4C13-AAC9-DBCB193D1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444</Words>
  <Characters>2534</Characters>
  <Application>Microsoft Office Word</Application>
  <DocSecurity>0</DocSecurity>
  <Lines>21</Lines>
  <Paragraphs>5</Paragraphs>
  <ScaleCrop>false</ScaleCrop>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lenovo</cp:lastModifiedBy>
  <cp:revision>6</cp:revision>
  <cp:lastPrinted>2021-02-05T08:35:00Z</cp:lastPrinted>
  <dcterms:created xsi:type="dcterms:W3CDTF">2021-02-05T07:52:00Z</dcterms:created>
  <dcterms:modified xsi:type="dcterms:W3CDTF">2021-02-25T01:26:00Z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