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44"/>
          <w:szCs w:val="44"/>
        </w:rPr>
      </w:pPr>
      <w:r>
        <w:rPr>
          <w:rFonts w:ascii="Times New Roman" w:hAnsi="Times New Roman" w:eastAsia="黑体" w:cs="Times New Roman"/>
          <w:sz w:val="44"/>
          <w:szCs w:val="44"/>
        </w:rPr>
        <w:t>“银行、农村信用社、兑换机构及非金融机构等结汇、售汇业务市场准入、退出审批”行政审批服务指南</w:t>
      </w: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外国银行分行头寸集中管理审批</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四、外国银行分行头寸集中管理审批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bookmarkStart w:id="0" w:name="_GoBack"/>
      <w:bookmarkEnd w:id="0"/>
      <w:r>
        <w:rPr>
          <w:rFonts w:ascii="Times New Roman" w:hAnsi="Times New Roman" w:eastAsia="仿宋_GB2312" w:cs="Times New Roman"/>
          <w:sz w:val="30"/>
          <w:szCs w:val="30"/>
        </w:rPr>
        <w:t>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92"/>
        <w:gridCol w:w="457"/>
        <w:gridCol w:w="819"/>
        <w:gridCol w:w="4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w:t>
      </w:r>
      <w:r>
        <w:rPr>
          <w:rFonts w:hint="eastAsia" w:ascii="Times New Roman" w:hAnsi="Times New Roman" w:eastAsia="仿宋_GB2312" w:cs="Times New Roman"/>
          <w:sz w:val="30"/>
          <w:szCs w:val="30"/>
          <w:lang w:eastAsia="zh-CN"/>
        </w:rPr>
        <w:t>地址</w:t>
      </w:r>
      <w:r>
        <w:rPr>
          <w:rFonts w:hint="eastAsia" w:ascii="Times New Roman" w:hAnsi="Times New Roman" w:eastAsia="仿宋_GB2312" w:cs="Times New Roman"/>
          <w:sz w:val="30"/>
          <w:szCs w:val="30"/>
        </w:rPr>
        <w:t>：广州市沿江西路137 号</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w:t>
      </w:r>
      <w:r>
        <w:rPr>
          <w:rFonts w:hint="eastAsia" w:ascii="Times New Roman" w:hAnsi="Times New Roman" w:eastAsia="仿宋_GB2312" w:cs="Times New Roman"/>
          <w:sz w:val="30"/>
          <w:szCs w:val="30"/>
          <w:lang w:eastAsia="zh-CN"/>
        </w:rPr>
        <w:t>办公</w:t>
      </w:r>
      <w:r>
        <w:rPr>
          <w:rFonts w:hint="eastAsia" w:ascii="Times New Roman" w:hAnsi="Times New Roman" w:eastAsia="仿宋_GB2312" w:cs="Times New Roman"/>
          <w:sz w:val="30"/>
          <w:szCs w:val="30"/>
        </w:rPr>
        <w:t>时间：</w:t>
      </w:r>
      <w:r>
        <w:rPr>
          <w:rFonts w:hint="eastAsia" w:ascii="Times New Roman" w:hAnsi="Times New Roman" w:eastAsia="仿宋_GB2312" w:cs="Times New Roman"/>
          <w:sz w:val="30"/>
          <w:szCs w:val="30"/>
          <w:lang w:eastAsia="zh-CN"/>
        </w:rPr>
        <w:t>工作日</w:t>
      </w:r>
      <w:r>
        <w:rPr>
          <w:rFonts w:hint="eastAsia" w:ascii="Times New Roman" w:hAnsi="Times New Roman" w:eastAsia="仿宋_GB2312" w:cs="Times New Roman"/>
          <w:sz w:val="30"/>
          <w:szCs w:val="30"/>
        </w:rPr>
        <w:t>上午8:30-</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0、下午14:00-17:</w:t>
      </w:r>
      <w:r>
        <w:rPr>
          <w:rFonts w:hint="eastAsia" w:ascii="Times New Roman" w:hAnsi="Times New Roman" w:eastAsia="仿宋_GB2312" w:cs="Times New Roman"/>
          <w:sz w:val="30"/>
          <w:szCs w:val="30"/>
          <w:lang w:val="en-US" w:eastAsia="zh-CN"/>
        </w:rPr>
        <w:t>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国家外汇管理局广东省分局咨询电话：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pacing w:val="-6"/>
          <w:sz w:val="30"/>
          <w:szCs w:val="30"/>
        </w:rPr>
        <w:t>国家外汇管理局广东省分局</w:t>
      </w:r>
      <w:r>
        <w:rPr>
          <w:rFonts w:hint="eastAsia" w:ascii="Times New Roman" w:hAnsi="Times New Roman" w:eastAsia="仿宋_GB2312" w:cs="Times New Roman"/>
          <w:spacing w:val="-6"/>
          <w:sz w:val="30"/>
          <w:szCs w:val="30"/>
          <w:lang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w:t>
      </w:r>
      <w:r>
        <w:rPr>
          <w:rFonts w:hint="eastAsia" w:ascii="Times New Roman" w:hAnsi="Times New Roman" w:eastAsia="仿宋_GB2312" w:cs="Times New Roman"/>
          <w:sz w:val="30"/>
          <w:szCs w:val="30"/>
          <w:highlight w:val="none"/>
          <w:lang w:val="en-US" w:eastAsia="zh-CN"/>
        </w:rPr>
        <w:t>81322244</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521" o:spid="_x0000_s1026" style="position:absolute;left:0;margin-left:-39.65pt;margin-top:26.1pt;height:455.7pt;width:459.7pt;rotation:0f;z-index:251658240;" coordorigin="1007,3210" coordsize="9194,9114">
            <o:lock v:ext="edit" position="f" selection="f" grouping="f" rotation="f" cropping="f" text="f" aspectratio="f"/>
            <v:shape id="Straight Connector 522" o:spid="_x0000_s1027"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3" o:spid="_x0000_s1028" type="#_x0000_t32" style="position:absolute;left:3667;top:641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4" o:spid="_x0000_s1029" type="#_x0000_t32" style="position:absolute;left:3667;top:7217;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5" o:spid="_x0000_s1030" type="#_x0000_t32" style="position:absolute;left:8191;top:5266;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6" o:spid="_x0000_s1031"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7" o:spid="_x0000_s1032" type="#_x0000_t32" style="position:absolute;left:5392;top:9276;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8" o:spid="_x0000_s1033" type="#_x0000_t32" style="position:absolute;left:6547;top:10247;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9" o:spid="_x0000_s1034" type="#_x0000_t32" style="position:absolute;left:4432;top:10247;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30" o:spid="_x0000_s1035" type="#_x0000_t32" style="position:absolute;left:2612;top:7450;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531" o:spid="_x0000_s1036" type="#_x0000_t32" style="position:absolute;left:2612;top:8841;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532" o:spid="_x0000_s1037"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533" o:spid="_x0000_s1038"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534" o:spid="_x0000_s1039"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535" o:spid="_x0000_s1040"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536" o:spid="_x0000_s1041"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537" o:spid="_x0000_s1042"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538" o:spid="_x0000_s1043" style="position:absolute;left:1771;top:3210;height:1483;width:25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539" o:spid="_x0000_s1044"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540" o:spid="_x0000_s1045"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372"/>
    <w:rsid w:val="00022191"/>
    <w:rsid w:val="00023783"/>
    <w:rsid w:val="00041960"/>
    <w:rsid w:val="00042B58"/>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3044"/>
    <w:rsid w:val="00344B01"/>
    <w:rsid w:val="00353AC4"/>
    <w:rsid w:val="003616B4"/>
    <w:rsid w:val="003A57B2"/>
    <w:rsid w:val="003C7132"/>
    <w:rsid w:val="003D77A5"/>
    <w:rsid w:val="003E6BF6"/>
    <w:rsid w:val="003F221D"/>
    <w:rsid w:val="003F3097"/>
    <w:rsid w:val="00402AE8"/>
    <w:rsid w:val="00405FE6"/>
    <w:rsid w:val="004078F7"/>
    <w:rsid w:val="004105BC"/>
    <w:rsid w:val="00421C27"/>
    <w:rsid w:val="00440A1F"/>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200634C5"/>
    <w:rsid w:val="2C9E35DF"/>
    <w:rsid w:val="32B8127D"/>
    <w:rsid w:val="47CA25F5"/>
    <w:rsid w:val="512078D4"/>
    <w:rsid w:val="6BA936C4"/>
    <w:rsid w:val="6E3B6B0A"/>
    <w:rsid w:val="71900992"/>
    <w:rsid w:val="786D292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522"/>
        <o:r id="V:Rule2" type="connector" idref="#Straight Connector 523"/>
        <o:r id="V:Rule3" type="connector" idref="#Straight Connector 524"/>
        <o:r id="V:Rule4" type="connector" idref="#Straight Connector 525"/>
        <o:r id="V:Rule5" type="connector" idref="#Straight Connector 526"/>
        <o:r id="V:Rule6" type="connector" idref="#Straight Connector 527"/>
        <o:r id="V:Rule7" type="connector" idref="#Straight Connector 528"/>
        <o:r id="V:Rule8" type="connector" idref="#Straight Connector 529"/>
        <o:r id="V:Rule9" type="connector" idref="#Straight Connector 530"/>
        <o:r id="V:Rule10" type="connector" idref="#Straight Connector 5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1716</Characters>
  <Lines>14</Lines>
  <Paragraphs>4</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李宁</cp:lastModifiedBy>
  <cp:lastPrinted>2017-11-24T00:22:00Z</cp:lastPrinted>
  <dcterms:modified xsi:type="dcterms:W3CDTF">2023-08-30T07:21:34Z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