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cs="Times New Roman"/>
          <w:sz w:val="20"/>
          <w:lang w:val="en-US" w:bidi="ar-SA"/>
        </w:rPr>
        <w:drawing>
          <wp:anchor distT="0" distB="0" distL="0" distR="0" simplePos="0" relativeHeight="251660288" behindDoc="0" locked="0" layoutInCell="1" allowOverlap="1">
            <wp:simplePos x="0" y="0"/>
            <wp:positionH relativeFrom="page">
              <wp:posOffset>5570855</wp:posOffset>
            </wp:positionH>
            <wp:positionV relativeFrom="paragraph">
              <wp:posOffset>24130</wp:posOffset>
            </wp:positionV>
            <wp:extent cx="1052195" cy="81851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052195" cy="818515"/>
                    </a:xfrm>
                    <a:prstGeom prst="rect">
                      <a:avLst/>
                    </a:prstGeom>
                  </pic:spPr>
                </pic:pic>
              </a:graphicData>
            </a:graphic>
          </wp:anchor>
        </w:drawing>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eastAsiaTheme="minorEastAsia"/>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cs="Times New Roman" w:eastAsiaTheme="minorEastAsia"/>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cs="Times New Roman" w:eastAsiaTheme="minorEastAsia"/>
          <w:sz w:val="52"/>
        </w:rPr>
        <w:t>”</w:t>
      </w:r>
      <w:r>
        <w:rPr>
          <w:rFonts w:ascii="Times New Roman" w:hAnsi="黑体" w:eastAsia="黑体" w:cs="Times New Roman"/>
          <w:sz w:val="52"/>
        </w:rPr>
        <w:t>行政审批服务指南</w:t>
      </w:r>
    </w:p>
    <w:p>
      <w:pPr>
        <w:pStyle w:val="2"/>
        <w:ind w:left="0"/>
        <w:rPr>
          <w:rFonts w:ascii="Times New Roman" w:hAnsi="Times New Roman" w:cs="Times New Roman" w:eastAsiaTheme="minorEastAsia"/>
          <w:sz w:val="52"/>
        </w:rPr>
      </w:pPr>
    </w:p>
    <w:p>
      <w:pPr>
        <w:pStyle w:val="2"/>
        <w:ind w:left="0"/>
        <w:rPr>
          <w:rFonts w:ascii="Times New Roman" w:hAnsi="Times New Roman" w:cs="Times New Roman" w:eastAsiaTheme="minorEastAsia"/>
          <w:sz w:val="52"/>
        </w:rPr>
      </w:pPr>
    </w:p>
    <w:p>
      <w:pPr>
        <w:pStyle w:val="2"/>
        <w:ind w:left="0"/>
        <w:rPr>
          <w:rFonts w:ascii="Times New Roman" w:hAnsi="Times New Roman" w:cs="Times New Roman" w:eastAsiaTheme="minorEastAsia"/>
          <w:sz w:val="52"/>
        </w:rPr>
      </w:pPr>
    </w:p>
    <w:p>
      <w:pPr>
        <w:pStyle w:val="2"/>
        <w:adjustRightInd w:val="0"/>
        <w:snapToGrid w:val="0"/>
        <w:spacing w:before="239"/>
        <w:ind w:leftChars="618" w:right="2740" w:firstLine="1800" w:firstLineChars="600"/>
        <w:rPr>
          <w:rFonts w:ascii="Times New Roman" w:hAnsi="Times New Roman" w:eastAsia="仿宋_GB2312" w:cs="Times New Roman"/>
          <w:spacing w:val="-12"/>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p>
    <w:p>
      <w:pPr>
        <w:pStyle w:val="2"/>
        <w:tabs>
          <w:tab w:val="left" w:pos="6600"/>
        </w:tabs>
        <w:adjustRightInd w:val="0"/>
        <w:snapToGrid w:val="0"/>
        <w:spacing w:before="239"/>
        <w:ind w:right="30" w:rightChars="0"/>
        <w:jc w:val="center"/>
        <w:rPr>
          <w:rFonts w:hint="eastAsia" w:ascii="Times New Roman" w:hAnsi="Times New Roman" w:eastAsia="仿宋_GB2312" w:cs="Times New Roman"/>
          <w:lang w:eastAsia="zh-CN"/>
        </w:rPr>
      </w:pPr>
      <w:r>
        <w:rPr>
          <w:rFonts w:ascii="Times New Roman" w:hAnsi="Times New Roman" w:eastAsia="仿宋_GB2312" w:cs="Times New Roman"/>
        </w:rPr>
        <w:t>发布机构：国家外汇管理局</w:t>
      </w:r>
      <w:r>
        <w:rPr>
          <w:rFonts w:hint="eastAsia" w:ascii="Times New Roman" w:hAnsi="Times New Roman" w:eastAsia="仿宋_GB2312" w:cs="Times New Roman"/>
          <w:lang w:eastAsia="zh-CN"/>
        </w:rPr>
        <w:t>福建省分局</w:t>
      </w: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hint="eastAsia" w:ascii="Times New Roman" w:hAnsi="Times New Roman" w:eastAsia="仿宋_GB2312" w:cs="Times New Roman"/>
        </w:rPr>
        <w:t>申请人注册所在地外汇局。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hint="eastAsia" w:ascii="Times New Roman" w:hAnsi="Times New Roman" w:eastAsia="仿宋_GB2312" w:cs="Times New Roman"/>
        </w:rPr>
        <w:t>申请人注册所在地外汇局。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8"/>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1"/>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1"/>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1"/>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1"/>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1"/>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1"/>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tcPr>
          <w:p>
            <w:pPr>
              <w:autoSpaceDE/>
              <w:autoSpaceDN/>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1"/>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57"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1"/>
              <w:ind w:left="106"/>
              <w:jc w:val="center"/>
              <w:rPr>
                <w:rFonts w:ascii="Times New Roman" w:hAnsi="Times New Roman" w:eastAsia="仿宋_GB2312" w:cs="Times New Roman"/>
                <w:color w:val="FF0000"/>
                <w:sz w:val="24"/>
                <w:szCs w:val="24"/>
              </w:rPr>
            </w:pPr>
          </w:p>
          <w:p>
            <w:pPr>
              <w:pStyle w:val="11"/>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tcPr>
          <w:p>
            <w:pPr>
              <w:autoSpaceDE/>
              <w:autoSpaceDN/>
              <w:jc w:val="both"/>
              <w:rPr>
                <w:rFonts w:ascii="Times New Roman" w:hAnsi="Times New Roman" w:eastAsia="仿宋_GB2312" w:cs="Times New Roman"/>
                <w:kern w:val="2"/>
                <w:sz w:val="24"/>
                <w:szCs w:val="24"/>
                <w:lang w:val="en-US" w:bidi="ar-SA"/>
              </w:rPr>
            </w:pPr>
          </w:p>
        </w:tc>
        <w:tc>
          <w:tcPr>
            <w:tcW w:w="1842" w:type="dxa"/>
            <w:vMerge w:val="continue"/>
          </w:tcPr>
          <w:p>
            <w:pPr>
              <w:autoSpaceDE/>
              <w:autoSpaceDN/>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1"/>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tcPr>
          <w:p>
            <w:pPr>
              <w:autoSpaceDE/>
              <w:autoSpaceDN/>
              <w:jc w:val="both"/>
              <w:rPr>
                <w:rFonts w:ascii="Times New Roman" w:hAnsi="Times New Roman" w:eastAsia="仿宋_GB2312" w:cs="Times New Roman"/>
                <w:kern w:val="2"/>
                <w:sz w:val="24"/>
                <w:szCs w:val="24"/>
                <w:lang w:val="en-US" w:bidi="ar-SA"/>
              </w:rPr>
            </w:pPr>
          </w:p>
        </w:tc>
        <w:tc>
          <w:tcPr>
            <w:tcW w:w="1842" w:type="dxa"/>
            <w:vMerge w:val="continue"/>
          </w:tcPr>
          <w:p>
            <w:pPr>
              <w:autoSpaceDE/>
              <w:autoSpaceDN/>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8"/>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1"/>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1"/>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1"/>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tcPr>
          <w:p>
            <w:pPr>
              <w:autoSpaceDE/>
              <w:autoSpaceDN/>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1"/>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1"/>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hint="eastAsia" w:ascii="Times New Roman" w:hAnsi="Times New Roman" w:eastAsia="仿宋_GB2312" w:cs="Times New Roman"/>
        </w:rPr>
        <w:t>申请人可通过注册所在地外汇局提交申请材料。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zh-CN" w:eastAsia="zh-CN"/>
        </w:rPr>
        <w:t>福建省分局办理咨询电话：</w:t>
      </w:r>
      <w:r>
        <w:rPr>
          <w:rFonts w:hint="eastAsia" w:ascii="Times New Roman" w:hAnsi="Times New Roman" w:eastAsia="仿宋_GB2312" w:cs="Times New Roman"/>
          <w:sz w:val="30"/>
          <w:szCs w:val="30"/>
          <w:lang w:val="en-US" w:eastAsia="zh-CN"/>
        </w:rPr>
        <w:t>0591-88010903</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宁德市中心支局：0593-2990709</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莆田市中心支局：0594-2695670</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泉州市中心支局：0595-22148058</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漳州市中心支局：0596-2879604</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龙岩市中心支局：0597-2108964</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三明市中心支局：0598-8966073</w:t>
      </w:r>
    </w:p>
    <w:p>
      <w:pPr>
        <w:adjustRightInd w:val="0"/>
        <w:snapToGrid w:val="0"/>
        <w:spacing w:line="360" w:lineRule="auto"/>
        <w:ind w:firstLine="600" w:firstLineChars="20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南平市中心支局：0599-8867359</w:t>
      </w:r>
    </w:p>
    <w:p>
      <w:pPr>
        <w:adjustRightInd w:val="0"/>
        <w:snapToGrid w:val="0"/>
        <w:spacing w:line="360" w:lineRule="auto"/>
        <w:ind w:firstLine="600" w:firstLineChars="200"/>
        <w:jc w:val="center"/>
        <w:rPr>
          <w:rFonts w:ascii="Times New Roman" w:hAnsi="Times New Roman" w:eastAsia="仿宋_GB2312" w:cs="Times New Roman"/>
        </w:rPr>
      </w:pPr>
      <w:r>
        <w:rPr>
          <w:rFonts w:ascii="Times New Roman" w:hAnsi="Times New Roman" w:eastAsia="仿宋_GB2312" w:cs="Times New Roman"/>
          <w:sz w:val="30"/>
          <w:szCs w:val="30"/>
        </w:rPr>
        <w:t>监督投诉</w:t>
      </w:r>
      <w:r>
        <w:rPr>
          <w:rFonts w:hint="eastAsia" w:ascii="Times New Roman" w:hAnsi="Times New Roman" w:eastAsia="仿宋_GB2312" w:cs="Times New Roman"/>
          <w:sz w:val="30"/>
          <w:szCs w:val="30"/>
          <w:lang w:val="zh-CN" w:eastAsia="zh-CN"/>
        </w:rPr>
        <w:t>电话：</w:t>
      </w:r>
      <w:r>
        <w:rPr>
          <w:rFonts w:hint="eastAsia" w:ascii="Times New Roman" w:hAnsi="Times New Roman" w:eastAsia="仿宋_GB2312" w:cs="Times New Roman"/>
          <w:sz w:val="30"/>
          <w:szCs w:val="30"/>
          <w:lang w:val="en-US" w:eastAsia="zh-CN"/>
        </w:rPr>
        <w:t>0591-88010908</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tbl>
      <w:tblPr>
        <w:tblStyle w:val="6"/>
        <w:tblW w:w="80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262"/>
        <w:gridCol w:w="2283"/>
        <w:gridCol w:w="3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lang w:eastAsia="zh-CN"/>
              </w:rPr>
            </w:pPr>
            <w:r>
              <w:rPr>
                <w:rFonts w:hint="eastAsia" w:ascii="Times New Roman" w:hAnsi="Times New Roman" w:eastAsia="仿宋_GB2312" w:cs="Times New Roman"/>
                <w:sz w:val="30"/>
                <w:szCs w:val="30"/>
                <w:lang w:eastAsia="zh-CN"/>
              </w:rPr>
              <w:t>分支机构名称</w:t>
            </w:r>
          </w:p>
        </w:tc>
        <w:tc>
          <w:tcPr>
            <w:tcW w:w="2283" w:type="dxa"/>
            <w:tcBorders>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ascii="Times New Roman" w:hAnsi="Times New Roman" w:eastAsia="仿宋_GB2312" w:cs="Times New Roman"/>
                <w:sz w:val="30"/>
                <w:szCs w:val="30"/>
              </w:rPr>
              <w:t>办公地址</w:t>
            </w:r>
          </w:p>
        </w:tc>
        <w:tc>
          <w:tcPr>
            <w:tcW w:w="3532" w:type="dxa"/>
            <w:tcBorders>
              <w:left w:val="single" w:color="auto" w:sz="4" w:space="0"/>
              <w:bottom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ascii="Times New Roman" w:hAnsi="Times New Roman" w:eastAsia="仿宋_GB2312" w:cs="Times New Roman"/>
                <w:sz w:val="30"/>
                <w:szCs w:val="30"/>
              </w:rPr>
              <w:t>办公</w:t>
            </w:r>
            <w:r>
              <w:rPr>
                <w:rFonts w:hint="default" w:ascii="Times New Roman" w:hAnsi="Times New Roman" w:eastAsia="仿宋_GB2312" w:cs="Times New Roman"/>
                <w:sz w:val="30"/>
                <w:szCs w:val="30"/>
                <w:lang w:eastAsia="zh-CN"/>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eastAsia="zh-CN"/>
              </w:rPr>
            </w:pPr>
            <w:r>
              <w:rPr>
                <w:rFonts w:hint="eastAsia" w:ascii="Times New Roman" w:hAnsi="Times New Roman" w:eastAsia="仿宋_GB2312" w:cs="Times New Roman"/>
                <w:sz w:val="30"/>
                <w:szCs w:val="30"/>
                <w:lang w:val="zh-CN" w:eastAsia="zh-CN"/>
              </w:rPr>
              <w:t>福建省分局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福州市鼓楼区五四路</w:t>
            </w:r>
            <w:r>
              <w:rPr>
                <w:rFonts w:hint="default" w:ascii="Times New Roman" w:hAnsi="Times New Roman" w:eastAsia="仿宋_GB2312" w:cs="Times New Roman"/>
                <w:sz w:val="30"/>
                <w:szCs w:val="30"/>
                <w:lang w:val="en-US" w:eastAsia="zh-CN"/>
              </w:rPr>
              <w:t>220号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宁德市中心支局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宁德市蕉城区蕉城南路61号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莆田市中心支局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莆田市文献西路1446号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漳州市芗城区元光南路6号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龙岩市新罗区西城莲西路8号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三明市梅列区东新四路崇桂新村98幢</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2262" w:type="dxa"/>
            <w:tcBorders>
              <w:top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南平市中心支局</w:t>
            </w:r>
          </w:p>
        </w:tc>
        <w:tc>
          <w:tcPr>
            <w:tcW w:w="2283" w:type="dxa"/>
            <w:tcBorders>
              <w:top w:val="single" w:color="000000" w:sz="4" w:space="0"/>
              <w:left w:val="nil"/>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南平市八一路585号</w:t>
            </w:r>
          </w:p>
        </w:tc>
        <w:tc>
          <w:tcPr>
            <w:tcW w:w="3532" w:type="dxa"/>
            <w:tcBorders>
              <w:top w:val="single" w:color="000000" w:sz="4" w:space="0"/>
              <w:lef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bl>
    <w:p>
      <w:pPr>
        <w:pStyle w:val="2"/>
        <w:spacing w:line="600" w:lineRule="exact"/>
        <w:ind w:left="770" w:leftChars="350" w:right="420" w:firstLine="600" w:firstLineChars="200"/>
        <w:rPr>
          <w:rFonts w:ascii="Times New Roman" w:hAnsi="Times New Roman" w:eastAsia="仿宋_GB2312" w:cs="Times New Roman"/>
        </w:rPr>
      </w:pPr>
      <w:bookmarkStart w:id="0" w:name="_GoBack"/>
      <w:bookmarkEnd w:id="0"/>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3"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lang w:val="en-US" w:bidi="ar-SA"/>
        </w:rPr>
        <w:pict>
          <v:group id="_x0000_s2215" o:spid="_x0000_s2215" o:spt="203" style="position:absolute;left:0pt;margin-left:-8.25pt;margin-top:26.45pt;height:470.9pt;width:461.8pt;z-index:251661312;mso-width-relative:page;mso-height-relative:page;" coordorigin="205,3287" coordsize="9236,9418">
            <o:lock v:ext="edit"/>
            <v:shape id="_x0000_s2216" o:spid="_x0000_s2216" o:spt="32" type="#_x0000_t32" style="position:absolute;left:1818;top:4763;height:525;width:17;" o:connectortype="straight" filled="f" coordsize="21600,21600">
              <v:path arrowok="t"/>
              <v:fill on="f" focussize="0,0"/>
              <v:stroke endarrow="block"/>
              <v:imagedata o:title=""/>
              <o:lock v:ext="edit"/>
            </v:shape>
            <v:group id="_x0000_s2217" o:spid="_x0000_s2217" o:spt="203" style="position:absolute;left:205;top:3287;height:9418;width:9236;" coordorigin="205,3287" coordsize="9236,9418">
              <o:lock v:ext="edit"/>
              <v:shape id="_x0000_s2218" o:spid="_x0000_s2218" o:spt="116" type="#_x0000_t116" style="position:absolute;left:782;top:3287;height:1476;width:2027;" coordsize="21600,21600">
                <v:path/>
                <v:fill focussize="0,0"/>
                <v:stroke joinstyle="miter"/>
                <v:imagedata o:title=""/>
                <o:lock v:ext="edit"/>
                <v:textbox>
                  <w:txbxContent>
                    <w:p>
                      <w:pPr>
                        <w:ind w:left="425" w:leftChars="193"/>
                        <w:rPr>
                          <w:rFonts w:asciiTheme="minorEastAsia" w:hAnsiTheme="minorEastAsia" w:eastAsiaTheme="minorEastAsia"/>
                          <w:sz w:val="21"/>
                          <w:szCs w:val="21"/>
                        </w:rPr>
                      </w:pPr>
                      <w:r>
                        <w:rPr>
                          <w:rFonts w:hint="eastAsia" w:asciiTheme="minorEastAsia" w:hAnsiTheme="minorEastAsia" w:eastAsiaTheme="minorEastAsia"/>
                          <w:sz w:val="21"/>
                          <w:szCs w:val="21"/>
                        </w:rPr>
                        <w:t>申请人提出申请，并提交材料</w:t>
                      </w:r>
                    </w:p>
                  </w:txbxContent>
                </v:textbox>
              </v:shape>
              <v:shape id="_x0000_s2219" o:spid="_x0000_s2219" o:spt="4" type="#_x0000_t4" style="position:absolute;left:205;top:5291;height:2129;width:3278;" coordsize="21600,21600">
                <v:path/>
                <v:fill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接件并于5个工作日内作出是否受理决定</w:t>
                      </w:r>
                    </w:p>
                  </w:txbxContent>
                </v:textbox>
              </v:shape>
              <v:rect id="_x0000_s2220" o:spid="_x0000_s2220" o:spt="1" style="position:absolute;left:6512;top:3957;height:674;width:2929;" coordsize="21600,21600">
                <v:path/>
                <v:fill focussize="0,0"/>
                <v:stroke/>
                <v:imagedata o:title=""/>
                <o:lock v:ext="edit"/>
                <v:textbox>
                  <w:txbxContent>
                    <w:p>
                      <w:pPr>
                        <w:ind w:right="-1199" w:rightChars="-545"/>
                      </w:pPr>
                      <w:r>
                        <w:rPr>
                          <w:rFonts w:hint="eastAsia"/>
                        </w:rPr>
                        <w:t>申请人补全材料</w:t>
                      </w:r>
                    </w:p>
                  </w:txbxContent>
                </v:textbox>
              </v:rect>
              <v:rect id="_x0000_s2221" o:spid="_x0000_s2221" o:spt="1" style="position:absolute;left:4079;top:5626;height:500;width:5362;" coordsize="21600,21600">
                <v:path/>
                <v:fill focussize="0,0"/>
                <v:stroke/>
                <v:imagedata o:title=""/>
                <o:lock v:ext="edit"/>
                <v:textbox>
                  <w:txbxContent>
                    <w:p>
                      <w:r>
                        <w:rPr>
                          <w:rFonts w:hint="eastAsia" w:asciiTheme="minorEastAsia" w:hAnsiTheme="minorEastAsia" w:eastAsiaTheme="minorEastAsia"/>
                          <w:sz w:val="21"/>
                          <w:szCs w:val="21"/>
                        </w:rPr>
                        <w:t>材料不全或不符合法定形式的，一次性告知补正材</w:t>
                      </w:r>
                      <w:r>
                        <w:rPr>
                          <w:rFonts w:hint="eastAsia"/>
                        </w:rPr>
                        <w:t>料</w:t>
                      </w:r>
                    </w:p>
                  </w:txbxContent>
                </v:textbox>
              </v:rect>
              <v:rect id="_x0000_s2222" o:spid="_x0000_s2222" o:spt="1" style="position:absolute;left:4079;top:6514;height:906;width:5362;" coordsize="21600,21600">
                <v:path/>
                <v:fill focussize="0,0"/>
                <v:stroke/>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依法不予受理的，作出不予受理决定，出具不予受理通知书</w:t>
                      </w:r>
                    </w:p>
                  </w:txbxContent>
                </v:textbox>
              </v:rect>
              <v:rect id="_x0000_s2223" o:spid="_x0000_s2223" o:spt="1" style="position:absolute;left:2674;top:7751;height:1397;width:4218;" coordsize="21600,21600">
                <v:path/>
                <v:fill focussize="0,0"/>
                <v:stroke/>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材料齐全的，依法予以受理</w:t>
                      </w:r>
                    </w:p>
                  </w:txbxContent>
                </v:textbox>
              </v:rect>
              <v:shape id="_x0000_s2224" o:spid="_x0000_s2224" o:spt="4" type="#_x0000_t4" style="position:absolute;left:2907;top:9585;height:1708;width:3536;" coordsize="21600,21600">
                <v:path/>
                <v:fill focussize="0,0"/>
                <v:stroke joinstyle="miter"/>
                <v:imagedata o:title=""/>
                <o:lock v:ext="edit"/>
                <v:textbox>
                  <w:txbxContent>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审查报批</w:t>
                      </w:r>
                    </w:p>
                  </w:txbxContent>
                </v:textbox>
              </v:shape>
              <v:shape id="_x0000_s2225" o:spid="_x0000_s2225" o:spt="116" type="#_x0000_t116" style="position:absolute;left:5368;top:11738;height:967;width:3617;" coordsize="21600,21600">
                <v:path/>
                <v:fill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依法作出不予许可决定</w:t>
                      </w:r>
                    </w:p>
                  </w:txbxContent>
                </v:textbox>
              </v:shape>
              <v:shape id="_x0000_s2226" o:spid="_x0000_s2226" o:spt="116" type="#_x0000_t116" style="position:absolute;left:978;top:11738;height:967;width:4116;" coordsize="21600,21600">
                <v:path/>
                <v:fill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予以许可</w:t>
                      </w:r>
                    </w:p>
                  </w:txbxContent>
                </v:textbox>
              </v:shape>
              <v:shape id="_x0000_s2227" o:spid="_x0000_s2227" o:spt="32" type="#_x0000_t32" style="position:absolute;left:2809;top:5894;height:1;width:1270;" o:connectortype="straight" filled="f" coordsize="21600,21600">
                <v:path arrowok="t"/>
                <v:fill on="f" focussize="0,0"/>
                <v:stroke endarrow="block"/>
                <v:imagedata o:title=""/>
                <o:lock v:ext="edit"/>
              </v:shape>
              <v:shape id="_x0000_s2228" o:spid="_x0000_s2228" o:spt="32" type="#_x0000_t32" style="position:absolute;left:2809;top:6764;height:1;width:1270;" o:connectortype="straight" filled="f" coordsize="21600,21600">
                <v:path arrowok="t"/>
                <v:fill on="f" focussize="0,0"/>
                <v:stroke endarrow="block"/>
                <v:imagedata o:title=""/>
                <o:lock v:ext="edit"/>
              </v:shape>
              <v:shape id="_x0000_s2229" o:spid="_x0000_s2229" o:spt="32" type="#_x0000_t32" style="position:absolute;left:7946;top:4631;flip:y;height:895;width:1;" o:connectortype="straight" filled="f" coordsize="21600,21600">
                <v:path arrowok="t"/>
                <v:fill on="f" focussize="0,0"/>
                <v:stroke endarrow="block"/>
                <v:imagedata o:title=""/>
                <o:lock v:ext="edit"/>
              </v:shape>
              <v:shape id="_x0000_s2230" o:spid="_x0000_s2230" o:spt="32" type="#_x0000_t32" style="position:absolute;left:2809;top:4346;flip:x;height:0;width:3703;" o:connectortype="straight" filled="f" coordsize="21600,21600">
                <v:path arrowok="t"/>
                <v:fill on="f" focussize="0,0"/>
                <v:stroke endarrow="block"/>
                <v:imagedata o:title=""/>
                <o:lock v:ext="edit"/>
              </v:shape>
              <v:shape id="_x0000_s2231" o:spid="_x0000_s2231" o:spt="32" type="#_x0000_t32" style="position:absolute;left:4632;top:9148;height:437;width:0;" o:connectortype="straight" filled="f" coordsize="21600,21600">
                <v:path arrowok="t"/>
                <v:fill on="f" focussize="0,0"/>
                <v:stroke endarrow="block"/>
                <v:imagedata o:title=""/>
                <o:lock v:ext="edit"/>
              </v:shape>
              <v:shape id="_x0000_s2232" o:spid="_x0000_s2232" o:spt="32" type="#_x0000_t32" style="position:absolute;left:5996;top:10681;height:1057;width:17;" o:connectortype="straight" filled="f" coordsize="21600,21600">
                <v:path arrowok="t"/>
                <v:fill on="f" focussize="0,0"/>
                <v:stroke endarrow="block"/>
                <v:imagedata o:title=""/>
                <o:lock v:ext="edit"/>
              </v:shape>
              <v:shape id="_x0000_s2233" o:spid="_x0000_s2233" o:spt="32" type="#_x0000_t32" style="position:absolute;left:3482;top:10681;height:1057;width:1;" o:connectortype="straight" filled="f" coordsize="21600,21600">
                <v:path arrowok="t"/>
                <v:fill on="f" focussize="0,0"/>
                <v:stroke endarrow="block"/>
                <v:imagedata o:title=""/>
                <o:lock v:ext="edit"/>
              </v:shape>
              <v:shape id="_x0000_s2234" o:spid="_x0000_s2234" o:spt="32" type="#_x0000_t32" style="position:absolute;left:1853;top:7420;height:921;width:1;" o:connectortype="straight" filled="f" coordsize="21600,21600">
                <v:path arrowok="t"/>
                <v:fill on="f" focussize="0,0"/>
                <v:stroke/>
                <v:imagedata o:title=""/>
                <o:lock v:ext="edit"/>
              </v:shape>
              <v:shape id="_x0000_s2235" o:spid="_x0000_s2235" o:spt="32" type="#_x0000_t32" style="position:absolute;left:1853;top:8339;height:0;width:822;" o:connectortype="straight" filled="f" coordsize="21600,21600">
                <v:path arrowok="t"/>
                <v:fill on="f" focussize="0,0"/>
                <v:stroke endarrow="block"/>
                <v:imagedata o:title=""/>
                <o:lock v:ext="edit"/>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8"/>
        <w:tblW w:w="0" w:type="auto"/>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1" w:hRule="atLeast"/>
        </w:trPr>
        <w:tc>
          <w:tcPr>
            <w:tcW w:w="2830" w:type="dxa"/>
          </w:tcPr>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tcPr>
          <w:p>
            <w:pPr>
              <w:pStyle w:val="11"/>
              <w:keepNext/>
              <w:keepLines/>
              <w:spacing w:line="420" w:lineRule="exact"/>
              <w:rPr>
                <w:rFonts w:ascii="Times New Roman" w:hAnsi="Times New Roman" w:eastAsia="仿宋_GB2312" w:cs="Times New Roman"/>
                <w:sz w:val="24"/>
                <w:szCs w:val="24"/>
              </w:rPr>
            </w:pPr>
          </w:p>
        </w:tc>
        <w:tc>
          <w:tcPr>
            <w:tcW w:w="1882" w:type="dxa"/>
          </w:tcPr>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396" w:type="dxa"/>
            <w:gridSpan w:val="4"/>
          </w:tcPr>
          <w:p>
            <w:pPr>
              <w:pStyle w:val="11"/>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6" w:hRule="atLeast"/>
        </w:trPr>
        <w:tc>
          <w:tcPr>
            <w:tcW w:w="2830" w:type="dxa"/>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1"/>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4" w:hRule="atLeast"/>
        </w:trPr>
        <w:tc>
          <w:tcPr>
            <w:tcW w:w="2830" w:type="dxa"/>
          </w:tcPr>
          <w:p>
            <w:pPr>
              <w:pStyle w:val="11"/>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tcPr>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8396" w:type="dxa"/>
            <w:gridSpan w:val="4"/>
          </w:tcPr>
          <w:p>
            <w:pPr>
              <w:pStyle w:val="11"/>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0" w:hRule="atLeast"/>
        </w:trPr>
        <w:tc>
          <w:tcPr>
            <w:tcW w:w="8396" w:type="dxa"/>
            <w:gridSpan w:val="4"/>
          </w:tcPr>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1"/>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1"/>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1"/>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1"/>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4"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rFonts w:eastAsiaTheme="minorEastAsia"/>
        <w:sz w:val="20"/>
      </w:rPr>
    </w:pPr>
  </w:p>
  <w:p>
    <w:pPr>
      <w:pStyle w:val="2"/>
      <w:spacing w:line="14" w:lineRule="auto"/>
      <w:ind w:left="0"/>
      <w:rPr>
        <w:sz w:val="20"/>
      </w:rPr>
    </w:pPr>
    <w:r>
      <w:pict>
        <v:shape id="_x0000_s1030" o:spid="_x0000_s1030" o:spt="202" type="#_x0000_t202" style="position:absolute;left:0pt;margin-left:293.3pt;margin-top:771.1pt;height:11pt;width:24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pict>
        <v:shape id="_x0000_s1025" o:spid="_x0000_s1025" o:spt="202" type="#_x0000_t202" style="position:absolute;left:0pt;margin-left:291.05pt;margin-top:771.1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B6B83"/>
    <w:multiLevelType w:val="multilevel"/>
    <w:tmpl w:val="7AEB6B83"/>
    <w:lvl w:ilvl="0" w:tentative="0">
      <w:start w:val="1"/>
      <w:numFmt w:val="japaneseCounting"/>
      <w:lvlText w:val="（%1）"/>
      <w:lvlJc w:val="left"/>
      <w:pPr>
        <w:ind w:left="2245" w:hanging="900"/>
      </w:pPr>
      <w:rPr>
        <w:rFonts w:hint="default"/>
      </w:rPr>
    </w:lvl>
    <w:lvl w:ilvl="1" w:tentative="0">
      <w:start w:val="1"/>
      <w:numFmt w:val="lowerLetter"/>
      <w:lvlText w:val="%2)"/>
      <w:lvlJc w:val="left"/>
      <w:pPr>
        <w:ind w:left="2185" w:hanging="420"/>
      </w:pPr>
    </w:lvl>
    <w:lvl w:ilvl="2" w:tentative="0">
      <w:start w:val="1"/>
      <w:numFmt w:val="lowerRoman"/>
      <w:lvlText w:val="%3."/>
      <w:lvlJc w:val="right"/>
      <w:pPr>
        <w:ind w:left="2605" w:hanging="420"/>
      </w:pPr>
    </w:lvl>
    <w:lvl w:ilvl="3" w:tentative="0">
      <w:start w:val="1"/>
      <w:numFmt w:val="decimal"/>
      <w:lvlText w:val="%4."/>
      <w:lvlJc w:val="left"/>
      <w:pPr>
        <w:ind w:left="3025" w:hanging="420"/>
      </w:pPr>
    </w:lvl>
    <w:lvl w:ilvl="4" w:tentative="0">
      <w:start w:val="1"/>
      <w:numFmt w:val="lowerLetter"/>
      <w:lvlText w:val="%5)"/>
      <w:lvlJc w:val="left"/>
      <w:pPr>
        <w:ind w:left="3445" w:hanging="420"/>
      </w:pPr>
    </w:lvl>
    <w:lvl w:ilvl="5" w:tentative="0">
      <w:start w:val="1"/>
      <w:numFmt w:val="lowerRoman"/>
      <w:lvlText w:val="%6."/>
      <w:lvlJc w:val="right"/>
      <w:pPr>
        <w:ind w:left="3865" w:hanging="420"/>
      </w:pPr>
    </w:lvl>
    <w:lvl w:ilvl="6" w:tentative="0">
      <w:start w:val="1"/>
      <w:numFmt w:val="decimal"/>
      <w:lvlText w:val="%7."/>
      <w:lvlJc w:val="left"/>
      <w:pPr>
        <w:ind w:left="4285" w:hanging="420"/>
      </w:pPr>
    </w:lvl>
    <w:lvl w:ilvl="7" w:tentative="0">
      <w:start w:val="1"/>
      <w:numFmt w:val="lowerLetter"/>
      <w:lvlText w:val="%8)"/>
      <w:lvlJc w:val="left"/>
      <w:pPr>
        <w:ind w:left="4705" w:hanging="420"/>
      </w:pPr>
    </w:lvl>
    <w:lvl w:ilvl="8" w:tentative="0">
      <w:start w:val="1"/>
      <w:numFmt w:val="lowerRoman"/>
      <w:lvlText w:val="%9."/>
      <w:lvlJc w:val="right"/>
      <w:pPr>
        <w:ind w:left="5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74223BFB"/>
    <w:rsid w:val="7A010BB0"/>
    <w:rsid w:val="7E722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216"/>
        <o:r id="V:Rule2" type="connector" idref="#_x0000_s2227"/>
        <o:r id="V:Rule3" type="connector" idref="#_x0000_s2228"/>
        <o:r id="V:Rule4" type="connector" idref="#_x0000_s2229"/>
        <o:r id="V:Rule5" type="connector" idref="#_x0000_s2230"/>
        <o:r id="V:Rule6" type="connector" idref="#_x0000_s2231"/>
        <o:r id="V:Rule7" type="connector" idref="#_x0000_s2232"/>
        <o:r id="V:Rule8" type="connector" idref="#_x0000_s2233"/>
        <o:r id="V:Rule9" type="connector" idref="#_x0000_s2234"/>
        <o:r id="V:Rule10" type="connector" idref="#_x0000_s22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1"/>
    <w:pPr>
      <w:ind w:left="1360"/>
    </w:pPr>
    <w:rPr>
      <w:sz w:val="30"/>
      <w:szCs w:val="30"/>
    </w:rPr>
  </w:style>
  <w:style w:type="paragraph" w:styleId="3">
    <w:name w:val="Balloon Text"/>
    <w:basedOn w:val="1"/>
    <w:link w:val="14"/>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customStyle="1" w:styleId="9">
    <w:name w:val="Heading 1"/>
    <w:basedOn w:val="1"/>
    <w:qFormat/>
    <w:uiPriority w:val="1"/>
    <w:pPr>
      <w:spacing w:line="382" w:lineRule="exact"/>
      <w:ind w:left="1662" w:hanging="303"/>
      <w:outlineLvl w:val="1"/>
    </w:pPr>
    <w:rPr>
      <w:b/>
      <w:bCs/>
      <w:sz w:val="30"/>
      <w:szCs w:val="30"/>
    </w:rPr>
  </w:style>
  <w:style w:type="paragraph" w:styleId="10">
    <w:name w:val="List Paragraph"/>
    <w:basedOn w:val="1"/>
    <w:qFormat/>
    <w:uiPriority w:val="1"/>
    <w:pPr>
      <w:ind w:left="760" w:firstLine="600"/>
    </w:pPr>
  </w:style>
  <w:style w:type="paragraph" w:customStyle="1" w:styleId="11">
    <w:name w:val="Table Paragraph"/>
    <w:basedOn w:val="1"/>
    <w:qFormat/>
    <w:uiPriority w:val="1"/>
  </w:style>
  <w:style w:type="character" w:customStyle="1" w:styleId="12">
    <w:name w:val="页眉 Char"/>
    <w:basedOn w:val="7"/>
    <w:link w:val="5"/>
    <w:semiHidden/>
    <w:qFormat/>
    <w:uiPriority w:val="99"/>
    <w:rPr>
      <w:rFonts w:ascii="仿宋" w:hAnsi="仿宋" w:eastAsia="仿宋" w:cs="仿宋"/>
      <w:sz w:val="18"/>
      <w:szCs w:val="18"/>
      <w:lang w:val="zh-CN" w:eastAsia="zh-CN" w:bidi="zh-CN"/>
    </w:rPr>
  </w:style>
  <w:style w:type="character" w:customStyle="1" w:styleId="13">
    <w:name w:val="页脚 Char"/>
    <w:basedOn w:val="7"/>
    <w:link w:val="4"/>
    <w:semiHidden/>
    <w:qFormat/>
    <w:uiPriority w:val="99"/>
    <w:rPr>
      <w:rFonts w:ascii="仿宋" w:hAnsi="仿宋" w:eastAsia="仿宋" w:cs="仿宋"/>
      <w:sz w:val="18"/>
      <w:szCs w:val="18"/>
      <w:lang w:val="zh-CN" w:eastAsia="zh-CN" w:bidi="zh-CN"/>
    </w:rPr>
  </w:style>
  <w:style w:type="character" w:customStyle="1" w:styleId="14">
    <w:name w:val="批注框文本 Char"/>
    <w:basedOn w:val="7"/>
    <w:link w:val="3"/>
    <w:semiHidden/>
    <w:qFormat/>
    <w:uiPriority w:val="99"/>
    <w:rPr>
      <w:rFonts w:ascii="仿宋" w:hAnsi="仿宋" w:eastAsia="仿宋" w:cs="仿宋"/>
      <w:sz w:val="18"/>
      <w:szCs w:val="18"/>
      <w:lang w:val="zh-CN" w:eastAsia="zh-CN" w:bidi="zh-CN"/>
    </w:rPr>
  </w:style>
  <w:style w:type="character" w:customStyle="1" w:styleId="15">
    <w:name w:val="正文文本 Char"/>
    <w:basedOn w:val="7"/>
    <w:link w:val="2"/>
    <w:qFormat/>
    <w:uiPriority w:val="1"/>
    <w:rPr>
      <w:rFonts w:ascii="仿宋" w:hAnsi="仿宋" w:eastAsia="仿宋" w:cs="仿宋"/>
      <w:sz w:val="30"/>
      <w:szCs w:val="3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5"/>
    <customShpInfo spid="_x0000_s2216"/>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17"/>
    <customShpInfo spid="_x0000_s221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EF47A-8283-417D-8276-1E7D0DAEE677}">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TotalTime>0</TotalTime>
  <ScaleCrop>false</ScaleCrop>
  <LinksUpToDate>false</LinksUpToDate>
  <CharactersWithSpaces>2803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经常处陈雄</cp:lastModifiedBy>
  <cp:lastPrinted>2020-03-31T03:19:00Z</cp:lastPrinted>
  <dcterms:modified xsi:type="dcterms:W3CDTF">2021-04-14T02:59:50Z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2052-11.8.2.9022</vt:lpwstr>
  </property>
</Properties>
</file>