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72" w:rsidRPr="00CD70F0" w:rsidRDefault="009A1572" w:rsidP="009A1572">
      <w:pPr>
        <w:ind w:right="300"/>
        <w:rPr>
          <w:rFonts w:ascii="黑体" w:eastAsia="黑体"/>
          <w:sz w:val="48"/>
          <w:szCs w:val="48"/>
        </w:rPr>
      </w:pPr>
      <w:r w:rsidRPr="00CD70F0">
        <w:rPr>
          <w:rFonts w:ascii="黑体" w:eastAsia="黑体" w:hint="eastAsia"/>
          <w:sz w:val="48"/>
          <w:szCs w:val="48"/>
        </w:rPr>
        <w:t>编号：57011</w:t>
      </w:r>
      <w:r w:rsidRPr="00A806CF">
        <w:rPr>
          <w:rFonts w:ascii="黑体" w:eastAsia="黑体"/>
          <w:noProof/>
          <w:sz w:val="48"/>
          <w:szCs w:val="48"/>
        </w:rPr>
        <w:drawing>
          <wp:inline distT="0" distB="0" distL="0" distR="0">
            <wp:extent cx="1105665" cy="885825"/>
            <wp:effectExtent l="1905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431" cy="88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572" w:rsidRPr="00CD70F0" w:rsidRDefault="009A1572" w:rsidP="009A1572">
      <w:pPr>
        <w:ind w:right="300"/>
        <w:jc w:val="center"/>
        <w:rPr>
          <w:rFonts w:ascii="黑体" w:eastAsia="黑体"/>
          <w:sz w:val="30"/>
          <w:szCs w:val="30"/>
        </w:rPr>
      </w:pPr>
    </w:p>
    <w:p w:rsidR="009A1572" w:rsidRPr="00CD70F0" w:rsidRDefault="009A1572" w:rsidP="009A1572">
      <w:pPr>
        <w:ind w:right="300"/>
        <w:jc w:val="center"/>
        <w:rPr>
          <w:rFonts w:ascii="黑体" w:eastAsia="黑体"/>
          <w:sz w:val="30"/>
          <w:szCs w:val="30"/>
        </w:rPr>
      </w:pPr>
    </w:p>
    <w:p w:rsidR="009A1572" w:rsidRPr="00CD70F0" w:rsidRDefault="009A1572" w:rsidP="009A1572">
      <w:pPr>
        <w:ind w:right="300"/>
        <w:jc w:val="center"/>
        <w:rPr>
          <w:rFonts w:ascii="黑体" w:eastAsia="黑体"/>
          <w:sz w:val="30"/>
          <w:szCs w:val="30"/>
        </w:rPr>
      </w:pPr>
    </w:p>
    <w:p w:rsidR="009A1572" w:rsidRPr="00CD70F0" w:rsidRDefault="009A1572" w:rsidP="009A1572">
      <w:pPr>
        <w:ind w:right="300"/>
        <w:jc w:val="center"/>
        <w:rPr>
          <w:rFonts w:ascii="黑体" w:eastAsia="黑体"/>
          <w:sz w:val="52"/>
          <w:szCs w:val="52"/>
        </w:rPr>
      </w:pPr>
    </w:p>
    <w:p w:rsidR="009A1572" w:rsidRPr="00CD70F0" w:rsidRDefault="009A1572" w:rsidP="009A1572">
      <w:pPr>
        <w:ind w:right="300"/>
        <w:jc w:val="center"/>
        <w:rPr>
          <w:rFonts w:ascii="黑体" w:eastAsia="黑体"/>
          <w:sz w:val="52"/>
          <w:szCs w:val="52"/>
        </w:rPr>
      </w:pPr>
      <w:r w:rsidRPr="00CD70F0">
        <w:rPr>
          <w:rFonts w:ascii="黑体" w:eastAsia="黑体" w:hint="eastAsia"/>
          <w:sz w:val="52"/>
          <w:szCs w:val="52"/>
        </w:rPr>
        <w:t>“资本项目外汇资金汇出境外的购付汇核准”行政审批服务指南</w:t>
      </w:r>
    </w:p>
    <w:p w:rsidR="009A1572" w:rsidRPr="00CD70F0" w:rsidRDefault="009A1572" w:rsidP="009A1572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9A1572" w:rsidRPr="00CD70F0" w:rsidRDefault="009A1572" w:rsidP="009A1572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9A1572" w:rsidRPr="00CD70F0" w:rsidRDefault="009A1572" w:rsidP="009A1572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9A1572" w:rsidRPr="00CD70F0" w:rsidRDefault="009A1572" w:rsidP="009A1572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9A1572" w:rsidRPr="00CD70F0" w:rsidRDefault="009A1572" w:rsidP="009A1572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9A1572" w:rsidRPr="00CD70F0" w:rsidRDefault="009A1572" w:rsidP="009A1572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9A1572" w:rsidRDefault="009A1572" w:rsidP="009A1572">
      <w:pPr>
        <w:ind w:right="300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发布日期：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日</w:t>
      </w:r>
    </w:p>
    <w:p w:rsidR="009A1572" w:rsidRDefault="009A1572" w:rsidP="009A1572">
      <w:pPr>
        <w:ind w:right="300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实施日期：</w:t>
      </w:r>
      <w:r>
        <w:rPr>
          <w:rFonts w:ascii="Times New Roman" w:eastAsia="仿宋_GB2312" w:hAnsi="Times New Roman"/>
          <w:sz w:val="30"/>
          <w:szCs w:val="30"/>
        </w:rPr>
        <w:t>2020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11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>20</w:t>
      </w:r>
      <w:r>
        <w:rPr>
          <w:rFonts w:ascii="Times New Roman" w:eastAsia="仿宋_GB2312" w:hAnsi="Times New Roman"/>
          <w:sz w:val="30"/>
          <w:szCs w:val="30"/>
        </w:rPr>
        <w:t>日</w:t>
      </w:r>
    </w:p>
    <w:p w:rsidR="009A1572" w:rsidRPr="00CD70F0" w:rsidRDefault="009A1572" w:rsidP="009A1572">
      <w:pPr>
        <w:ind w:right="300"/>
        <w:jc w:val="center"/>
        <w:rPr>
          <w:rFonts w:ascii="仿宋_GB2312" w:eastAsia="仿宋_GB2312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发布机构：国家外汇管理局</w:t>
      </w:r>
      <w:r>
        <w:rPr>
          <w:rFonts w:ascii="Times New Roman" w:eastAsia="仿宋_GB2312" w:hAnsi="Times New Roman" w:hint="eastAsia"/>
          <w:sz w:val="30"/>
          <w:szCs w:val="30"/>
        </w:rPr>
        <w:t>天津市分局</w:t>
      </w:r>
    </w:p>
    <w:p w:rsidR="009A1572" w:rsidRPr="00CD70F0" w:rsidRDefault="009A1572" w:rsidP="009A1572">
      <w:pPr>
        <w:ind w:right="300"/>
        <w:rPr>
          <w:rFonts w:ascii="仿宋_GB2312" w:eastAsia="仿宋_GB2312"/>
          <w:sz w:val="30"/>
          <w:szCs w:val="30"/>
        </w:rPr>
      </w:pPr>
    </w:p>
    <w:p w:rsidR="009A1572" w:rsidRPr="00CD70F0" w:rsidRDefault="009A1572" w:rsidP="009A1572">
      <w:pPr>
        <w:widowControl/>
        <w:jc w:val="left"/>
        <w:rPr>
          <w:rFonts w:ascii="仿宋_GB2312" w:eastAsia="仿宋_GB2312"/>
          <w:sz w:val="30"/>
          <w:szCs w:val="30"/>
        </w:rPr>
        <w:sectPr w:rsidR="009A1572" w:rsidRPr="00CD70F0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A1572" w:rsidRPr="00DE1929" w:rsidRDefault="009A1572" w:rsidP="009A1572">
      <w:pPr>
        <w:pStyle w:val="1"/>
      </w:pPr>
      <w:r w:rsidRPr="00CD70F0">
        <w:rPr>
          <w:rFonts w:hint="eastAsia"/>
        </w:rPr>
        <w:lastRenderedPageBreak/>
        <w:t>一、项目信息</w:t>
      </w:r>
    </w:p>
    <w:p w:rsidR="009A1572" w:rsidRPr="00CD70F0" w:rsidRDefault="009A1572" w:rsidP="009A1572">
      <w:pPr>
        <w:ind w:right="-58" w:firstLine="585"/>
        <w:rPr>
          <w:rFonts w:ascii="仿宋_GB2312" w:eastAsia="仿宋_GB2312"/>
          <w:sz w:val="30"/>
          <w:szCs w:val="30"/>
        </w:rPr>
      </w:pPr>
      <w:r w:rsidRPr="00CD70F0">
        <w:rPr>
          <w:rFonts w:ascii="仿宋_GB2312" w:eastAsia="仿宋_GB2312" w:hint="eastAsia"/>
          <w:sz w:val="30"/>
          <w:szCs w:val="30"/>
        </w:rPr>
        <w:t>项目名称：</w:t>
      </w:r>
      <w:r w:rsidRPr="00CD70F0">
        <w:rPr>
          <w:rFonts w:ascii="Times New Roman" w:eastAsia="仿宋_GB2312" w:hAnsi="Times New Roman" w:hint="eastAsia"/>
          <w:sz w:val="30"/>
          <w:szCs w:val="30"/>
        </w:rPr>
        <w:t>资本项目外汇资金汇出境外的购付汇核准</w:t>
      </w:r>
      <w:r w:rsidRPr="00CD70F0">
        <w:rPr>
          <w:rFonts w:ascii="仿宋_GB2312" w:eastAsia="仿宋_GB2312" w:hint="eastAsia"/>
          <w:sz w:val="30"/>
          <w:szCs w:val="30"/>
        </w:rPr>
        <w:t>；</w:t>
      </w:r>
    </w:p>
    <w:p w:rsidR="009A1572" w:rsidRPr="00CD70F0" w:rsidRDefault="009A1572" w:rsidP="009A1572">
      <w:pPr>
        <w:ind w:right="-58" w:firstLine="585"/>
        <w:rPr>
          <w:rFonts w:ascii="仿宋_GB2312" w:eastAsia="仿宋_GB2312"/>
          <w:sz w:val="30"/>
          <w:szCs w:val="30"/>
        </w:rPr>
      </w:pPr>
      <w:r w:rsidRPr="00CD70F0">
        <w:rPr>
          <w:rFonts w:ascii="仿宋_GB2312" w:eastAsia="仿宋_GB2312" w:hint="eastAsia"/>
          <w:sz w:val="30"/>
          <w:szCs w:val="30"/>
        </w:rPr>
        <w:t>项目编号：57011；</w:t>
      </w:r>
    </w:p>
    <w:p w:rsidR="009A1572" w:rsidRPr="00CD70F0" w:rsidRDefault="009A1572" w:rsidP="009A1572">
      <w:pPr>
        <w:ind w:right="-58" w:firstLine="585"/>
        <w:rPr>
          <w:rFonts w:ascii="仿宋_GB2312" w:eastAsia="仿宋_GB2312"/>
          <w:sz w:val="30"/>
          <w:szCs w:val="30"/>
        </w:rPr>
      </w:pPr>
      <w:r w:rsidRPr="00CD70F0">
        <w:rPr>
          <w:rFonts w:ascii="仿宋_GB2312" w:eastAsia="仿宋_GB2312" w:hint="eastAsia"/>
          <w:sz w:val="30"/>
          <w:szCs w:val="30"/>
        </w:rPr>
        <w:t>审批类别：行政许可；</w:t>
      </w:r>
    </w:p>
    <w:p w:rsidR="009A1572" w:rsidRPr="00CD70F0" w:rsidRDefault="009A1572" w:rsidP="009A1572">
      <w:pPr>
        <w:ind w:right="-58" w:firstLine="585"/>
        <w:rPr>
          <w:rFonts w:ascii="仿宋_GB2312" w:eastAsia="仿宋_GB2312"/>
          <w:sz w:val="30"/>
          <w:szCs w:val="30"/>
        </w:rPr>
      </w:pPr>
      <w:r w:rsidRPr="00CD70F0">
        <w:rPr>
          <w:rFonts w:ascii="仿宋_GB2312" w:eastAsia="仿宋_GB2312" w:hint="eastAsia"/>
          <w:sz w:val="30"/>
          <w:szCs w:val="30"/>
        </w:rPr>
        <w:t>审查类型：前审后批。</w:t>
      </w:r>
    </w:p>
    <w:p w:rsidR="009A1572" w:rsidRPr="00CD70F0" w:rsidRDefault="009A1572" w:rsidP="009A1572">
      <w:pPr>
        <w:pStyle w:val="1"/>
      </w:pPr>
      <w:r w:rsidRPr="00CD70F0">
        <w:rPr>
          <w:rFonts w:hint="eastAsia"/>
        </w:rPr>
        <w:t>二、适用范围</w:t>
      </w:r>
    </w:p>
    <w:p w:rsidR="009A1572" w:rsidRPr="00CD70F0" w:rsidRDefault="009A1572" w:rsidP="009A1572">
      <w:pPr>
        <w:ind w:right="-58" w:firstLine="585"/>
        <w:rPr>
          <w:rFonts w:ascii="仿宋_GB2312" w:eastAsia="仿宋_GB2312"/>
          <w:sz w:val="30"/>
          <w:szCs w:val="30"/>
        </w:rPr>
      </w:pPr>
      <w:r w:rsidRPr="00CD70F0">
        <w:rPr>
          <w:rFonts w:ascii="仿宋_GB2312" w:eastAsia="仿宋_GB2312" w:hint="eastAsia"/>
          <w:sz w:val="30"/>
          <w:szCs w:val="30"/>
        </w:rPr>
        <w:t>本指南适用于“</w:t>
      </w:r>
      <w:r w:rsidRPr="00CD70F0">
        <w:rPr>
          <w:rFonts w:ascii="Times New Roman" w:eastAsia="仿宋_GB2312" w:hAnsi="Times New Roman" w:hint="eastAsia"/>
          <w:sz w:val="30"/>
          <w:szCs w:val="30"/>
        </w:rPr>
        <w:t>资本项目外汇资金汇出境外的购付汇核准</w:t>
      </w:r>
      <w:r w:rsidRPr="00CD70F0">
        <w:rPr>
          <w:rFonts w:ascii="仿宋_GB2312" w:eastAsia="仿宋_GB2312" w:hint="eastAsia"/>
          <w:sz w:val="30"/>
          <w:szCs w:val="30"/>
        </w:rPr>
        <w:t>”的申请和办理。</w:t>
      </w:r>
    </w:p>
    <w:p w:rsidR="009A1572" w:rsidRPr="00CD70F0" w:rsidRDefault="009A1572" w:rsidP="009A1572">
      <w:pPr>
        <w:pStyle w:val="1"/>
      </w:pPr>
      <w:r w:rsidRPr="00CD70F0">
        <w:rPr>
          <w:rFonts w:hint="eastAsia"/>
        </w:rPr>
        <w:t>三、设定依据</w:t>
      </w:r>
    </w:p>
    <w:p w:rsidR="009A1572" w:rsidRPr="00CD70F0" w:rsidRDefault="009A1572" w:rsidP="009A1572">
      <w:pPr>
        <w:ind w:right="-58" w:firstLine="585"/>
        <w:rPr>
          <w:rFonts w:ascii="仿宋_GB2312" w:eastAsia="仿宋_GB2312" w:hAnsi="Times New Roman"/>
          <w:sz w:val="30"/>
          <w:szCs w:val="30"/>
        </w:rPr>
      </w:pPr>
      <w:r w:rsidRPr="00CD70F0">
        <w:rPr>
          <w:rFonts w:ascii="仿宋_GB2312" w:eastAsia="仿宋_GB2312" w:hAnsi="Times New Roman" w:hint="eastAsia"/>
          <w:sz w:val="30"/>
          <w:szCs w:val="30"/>
        </w:rPr>
        <w:t>《国务院对确需保留的行政审批项目设定行政许可的决定》（国务院令第412号）附件第468项“资本项目外汇资金汇出境外的购付汇核准”。</w:t>
      </w:r>
    </w:p>
    <w:p w:rsidR="00835BD3" w:rsidRDefault="00351999" w:rsidP="00835BD3">
      <w:pPr>
        <w:adjustRightInd w:val="0"/>
        <w:snapToGrid w:val="0"/>
        <w:spacing w:line="360" w:lineRule="auto"/>
        <w:ind w:firstLine="585"/>
        <w:outlineLvl w:val="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四、</w:t>
      </w:r>
      <w:r w:rsidR="00835BD3">
        <w:rPr>
          <w:rFonts w:ascii="Times New Roman" w:eastAsia="黑体" w:hAnsi="Times New Roman"/>
          <w:sz w:val="30"/>
          <w:szCs w:val="30"/>
        </w:rPr>
        <w:t>上市公司回购</w:t>
      </w:r>
      <w:r w:rsidR="00835BD3">
        <w:rPr>
          <w:rFonts w:ascii="Times New Roman" w:eastAsia="黑体" w:hAnsi="Times New Roman"/>
          <w:sz w:val="30"/>
          <w:szCs w:val="30"/>
        </w:rPr>
        <w:t>B</w:t>
      </w:r>
      <w:r w:rsidR="00835BD3">
        <w:rPr>
          <w:rFonts w:ascii="Times New Roman" w:eastAsia="黑体" w:hAnsi="Times New Roman"/>
          <w:sz w:val="30"/>
          <w:szCs w:val="30"/>
        </w:rPr>
        <w:t>股股份购汇额度审批</w:t>
      </w:r>
    </w:p>
    <w:p w:rsidR="00835BD3" w:rsidRDefault="00835BD3" w:rsidP="00835BD3">
      <w:pPr>
        <w:adjustRightInd w:val="0"/>
        <w:snapToGrid w:val="0"/>
        <w:spacing w:line="360" w:lineRule="auto"/>
        <w:ind w:firstLine="585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（一）办理依据</w:t>
      </w:r>
    </w:p>
    <w:p w:rsidR="00835BD3" w:rsidRDefault="00835BD3" w:rsidP="00835BD3">
      <w:pPr>
        <w:pStyle w:val="4"/>
        <w:adjustRightInd w:val="0"/>
        <w:snapToGrid w:val="0"/>
        <w:spacing w:line="360" w:lineRule="auto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1.</w:t>
      </w:r>
      <w:r>
        <w:rPr>
          <w:rFonts w:ascii="Times New Roman" w:eastAsia="仿宋_GB2312" w:hAnsi="Times New Roman"/>
          <w:sz w:val="30"/>
          <w:szCs w:val="30"/>
        </w:rPr>
        <w:t>《中华人民共和国外汇管理条例》（国务院令第</w:t>
      </w:r>
      <w:r>
        <w:rPr>
          <w:rFonts w:ascii="Times New Roman" w:eastAsia="仿宋_GB2312" w:hAnsi="Times New Roman"/>
          <w:sz w:val="30"/>
          <w:szCs w:val="30"/>
        </w:rPr>
        <w:t>532</w:t>
      </w:r>
      <w:r>
        <w:rPr>
          <w:rFonts w:ascii="Times New Roman" w:eastAsia="仿宋_GB2312" w:hAnsi="Times New Roman"/>
          <w:sz w:val="30"/>
          <w:szCs w:val="30"/>
        </w:rPr>
        <w:t>号）。</w:t>
      </w:r>
    </w:p>
    <w:p w:rsidR="00835BD3" w:rsidRDefault="00835BD3" w:rsidP="00835BD3">
      <w:pPr>
        <w:pStyle w:val="4"/>
        <w:adjustRightInd w:val="0"/>
        <w:snapToGrid w:val="0"/>
        <w:spacing w:line="360" w:lineRule="auto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2.</w:t>
      </w:r>
      <w:r>
        <w:rPr>
          <w:rFonts w:ascii="Times New Roman" w:eastAsia="仿宋_GB2312" w:hAnsi="Times New Roman"/>
          <w:sz w:val="30"/>
          <w:szCs w:val="30"/>
        </w:rPr>
        <w:t>《个人外汇管理办法》（中国人民银行令</w:t>
      </w:r>
      <w:r>
        <w:rPr>
          <w:rFonts w:ascii="Times New Roman" w:eastAsia="仿宋_GB2312" w:hAnsi="Times New Roman"/>
          <w:sz w:val="30"/>
          <w:szCs w:val="30"/>
        </w:rPr>
        <w:t>2006</w:t>
      </w:r>
      <w:r>
        <w:rPr>
          <w:rFonts w:ascii="Times New Roman" w:eastAsia="仿宋_GB2312" w:hAnsi="Times New Roman"/>
          <w:sz w:val="30"/>
          <w:szCs w:val="30"/>
        </w:rPr>
        <w:t>年第</w:t>
      </w:r>
      <w:r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号）。</w:t>
      </w:r>
    </w:p>
    <w:p w:rsidR="00835BD3" w:rsidRDefault="00835BD3" w:rsidP="00835BD3">
      <w:pPr>
        <w:pStyle w:val="4"/>
        <w:adjustRightInd w:val="0"/>
        <w:snapToGrid w:val="0"/>
        <w:spacing w:line="360" w:lineRule="auto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3.</w:t>
      </w:r>
      <w:r>
        <w:rPr>
          <w:rFonts w:ascii="Times New Roman" w:eastAsia="仿宋_GB2312" w:hAnsi="Times New Roman"/>
          <w:sz w:val="30"/>
          <w:szCs w:val="30"/>
        </w:rPr>
        <w:t>《国家外汇管理局关于印发〈个人外汇管理办法实施细则〉的通知》（汇发〔</w:t>
      </w:r>
      <w:r>
        <w:rPr>
          <w:rFonts w:ascii="Times New Roman" w:eastAsia="仿宋_GB2312" w:hAnsi="Times New Roman"/>
          <w:sz w:val="30"/>
          <w:szCs w:val="30"/>
        </w:rPr>
        <w:t>2007</w:t>
      </w:r>
      <w:r>
        <w:rPr>
          <w:rFonts w:ascii="Times New Roman" w:eastAsia="仿宋_GB2312" w:hAnsi="Times New Roman"/>
          <w:sz w:val="30"/>
          <w:szCs w:val="30"/>
        </w:rPr>
        <w:t>〕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号）。</w:t>
      </w:r>
    </w:p>
    <w:p w:rsidR="00835BD3" w:rsidRDefault="00835BD3" w:rsidP="00835BD3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（二）受理机构</w:t>
      </w:r>
    </w:p>
    <w:p w:rsidR="00835BD3" w:rsidRDefault="00835BD3" w:rsidP="00835BD3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申请人所在地外汇局。</w:t>
      </w:r>
    </w:p>
    <w:p w:rsidR="00835BD3" w:rsidRDefault="00835BD3" w:rsidP="00835BD3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（三）决定机构</w:t>
      </w:r>
    </w:p>
    <w:p w:rsidR="00835BD3" w:rsidRDefault="00835BD3" w:rsidP="00835BD3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lastRenderedPageBreak/>
        <w:t>申请人所在地外汇局。</w:t>
      </w:r>
    </w:p>
    <w:p w:rsidR="00835BD3" w:rsidRDefault="00835BD3" w:rsidP="00835BD3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（四）审批数量</w:t>
      </w:r>
    </w:p>
    <w:p w:rsidR="00835BD3" w:rsidRDefault="00835BD3" w:rsidP="00835BD3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无数量限制。</w:t>
      </w:r>
    </w:p>
    <w:p w:rsidR="00835BD3" w:rsidRDefault="00835BD3" w:rsidP="00835BD3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（五）办事条件</w:t>
      </w:r>
    </w:p>
    <w:p w:rsidR="00835BD3" w:rsidRDefault="00835BD3" w:rsidP="00835BD3">
      <w:pPr>
        <w:pStyle w:val="4"/>
        <w:adjustRightInd w:val="0"/>
        <w:snapToGrid w:val="0"/>
        <w:spacing w:line="360" w:lineRule="auto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上市公司回购事项是否已获得董事会和股东大会批准。如符合上述条件，不存在不予许可的情况。</w:t>
      </w:r>
    </w:p>
    <w:p w:rsidR="00835BD3" w:rsidRDefault="00835BD3" w:rsidP="00835BD3">
      <w:pPr>
        <w:adjustRightInd w:val="0"/>
        <w:snapToGrid w:val="0"/>
        <w:spacing w:line="360" w:lineRule="auto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（六）申请材料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992"/>
        <w:gridCol w:w="567"/>
        <w:gridCol w:w="850"/>
        <w:gridCol w:w="457"/>
        <w:gridCol w:w="1153"/>
      </w:tblGrid>
      <w:tr w:rsidR="00835BD3" w:rsidTr="007F1557">
        <w:tc>
          <w:tcPr>
            <w:tcW w:w="534" w:type="dxa"/>
            <w:vAlign w:val="center"/>
          </w:tcPr>
          <w:p w:rsidR="00835BD3" w:rsidRDefault="00835BD3" w:rsidP="007F155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835BD3" w:rsidRDefault="00835BD3" w:rsidP="007F155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992" w:type="dxa"/>
            <w:vAlign w:val="center"/>
          </w:tcPr>
          <w:p w:rsidR="00835BD3" w:rsidRDefault="00835BD3" w:rsidP="007F155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原件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567" w:type="dxa"/>
            <w:vAlign w:val="center"/>
          </w:tcPr>
          <w:p w:rsidR="00835BD3" w:rsidRDefault="00835BD3" w:rsidP="007F155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 w:rsidR="00835BD3" w:rsidRDefault="00835BD3" w:rsidP="007F155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纸质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457" w:type="dxa"/>
            <w:vAlign w:val="center"/>
          </w:tcPr>
          <w:p w:rsidR="00835BD3" w:rsidRDefault="00835BD3" w:rsidP="007F155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153" w:type="dxa"/>
            <w:vAlign w:val="center"/>
          </w:tcPr>
          <w:p w:rsidR="00835BD3" w:rsidRDefault="00835BD3" w:rsidP="007F155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备注</w:t>
            </w:r>
          </w:p>
        </w:tc>
      </w:tr>
      <w:tr w:rsidR="00835BD3" w:rsidTr="007F1557">
        <w:tc>
          <w:tcPr>
            <w:tcW w:w="534" w:type="dxa"/>
            <w:vAlign w:val="center"/>
          </w:tcPr>
          <w:p w:rsidR="00835BD3" w:rsidRDefault="00835BD3" w:rsidP="007F155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35BD3" w:rsidRDefault="00835BD3" w:rsidP="007F15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书面申请</w:t>
            </w:r>
          </w:p>
        </w:tc>
        <w:tc>
          <w:tcPr>
            <w:tcW w:w="992" w:type="dxa"/>
            <w:vAlign w:val="center"/>
          </w:tcPr>
          <w:p w:rsidR="00835BD3" w:rsidRDefault="00835BD3" w:rsidP="007F15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加盖公章的原件</w:t>
            </w:r>
          </w:p>
        </w:tc>
        <w:tc>
          <w:tcPr>
            <w:tcW w:w="567" w:type="dxa"/>
            <w:vAlign w:val="center"/>
          </w:tcPr>
          <w:p w:rsidR="00835BD3" w:rsidRDefault="00835BD3" w:rsidP="007F15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5BD3" w:rsidRDefault="00835BD3" w:rsidP="007F15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纸质</w:t>
            </w:r>
          </w:p>
        </w:tc>
        <w:tc>
          <w:tcPr>
            <w:tcW w:w="457" w:type="dxa"/>
            <w:vAlign w:val="center"/>
          </w:tcPr>
          <w:p w:rsidR="00835BD3" w:rsidRDefault="00835BD3" w:rsidP="007F1557">
            <w:pPr>
              <w:keepNext/>
              <w:keepLines/>
              <w:spacing w:before="340" w:after="330" w:line="57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835BD3" w:rsidRDefault="00835BD3" w:rsidP="007F1557">
            <w:pPr>
              <w:keepNext/>
              <w:keepLines/>
              <w:spacing w:before="340" w:after="330" w:line="57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35BD3" w:rsidTr="007F1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经公告的有关回购事项的股东大会决议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和回购报告书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原件及加盖公章的复印件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纸质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keepNext/>
              <w:keepLines/>
              <w:spacing w:before="340" w:after="330" w:line="57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验原件，留存加盖公章的复印件</w:t>
            </w:r>
          </w:p>
        </w:tc>
      </w:tr>
      <w:tr w:rsidR="00835BD3" w:rsidTr="007F1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主管部门的批复文件（如有）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原件及加盖公章的复印件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纸质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keepNext/>
              <w:keepLines/>
              <w:spacing w:before="340" w:after="330" w:line="57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3" w:rsidRDefault="00835BD3" w:rsidP="007F155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验原件，留存加盖公章的复印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件</w:t>
            </w:r>
          </w:p>
        </w:tc>
      </w:tr>
    </w:tbl>
    <w:p w:rsidR="00835BD3" w:rsidRDefault="00835BD3" w:rsidP="00835BD3">
      <w:pPr>
        <w:adjustRightInd w:val="0"/>
        <w:snapToGrid w:val="0"/>
        <w:spacing w:line="54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（七）申请接受</w:t>
      </w:r>
    </w:p>
    <w:p w:rsidR="00835BD3" w:rsidRDefault="00835BD3" w:rsidP="00835BD3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申请人可通过所在地外汇局业务窗口提交材料</w:t>
      </w:r>
    </w:p>
    <w:p w:rsidR="00835BD3" w:rsidRDefault="00835BD3" w:rsidP="00835BD3">
      <w:pPr>
        <w:adjustRightInd w:val="0"/>
        <w:snapToGrid w:val="0"/>
        <w:spacing w:line="54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（八）基本办理流程</w:t>
      </w:r>
    </w:p>
    <w:p w:rsidR="00835BD3" w:rsidRDefault="00835BD3" w:rsidP="00835BD3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1.</w:t>
      </w:r>
      <w:r>
        <w:rPr>
          <w:rFonts w:ascii="Times New Roman" w:eastAsia="仿宋_GB2312" w:hAnsi="Times New Roman"/>
          <w:sz w:val="30"/>
          <w:szCs w:val="30"/>
        </w:rPr>
        <w:t>申请人提交申请；</w:t>
      </w:r>
    </w:p>
    <w:p w:rsidR="00835BD3" w:rsidRDefault="00835BD3" w:rsidP="00835BD3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2.</w:t>
      </w:r>
      <w:r>
        <w:rPr>
          <w:rFonts w:ascii="Times New Roman" w:eastAsia="仿宋_GB2312" w:hAnsi="Times New Roman"/>
          <w:sz w:val="30"/>
          <w:szCs w:val="30"/>
        </w:rPr>
        <w:t>决定是否予以受理；</w:t>
      </w:r>
    </w:p>
    <w:p w:rsidR="00835BD3" w:rsidRDefault="00835BD3" w:rsidP="00835BD3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3.</w:t>
      </w:r>
      <w:r>
        <w:rPr>
          <w:rFonts w:ascii="Times New Roman" w:eastAsia="仿宋_GB2312" w:hAnsi="Times New Roman"/>
          <w:sz w:val="30"/>
          <w:szCs w:val="30"/>
        </w:rPr>
        <w:t>不予受理的，出具不予受理通知书；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835BD3" w:rsidRDefault="00835BD3" w:rsidP="00835BD3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4.</w:t>
      </w:r>
      <w:r>
        <w:rPr>
          <w:rFonts w:ascii="Times New Roman" w:eastAsia="仿宋_GB2312" w:hAnsi="Times New Roman"/>
          <w:sz w:val="30"/>
          <w:szCs w:val="30"/>
        </w:rPr>
        <w:t>材料不全或不符合法定形式的，一次性告知补正材料，并出具《行政审批补正材料通知书》；根据申请材料及补正情况，予以受理的，出具受理通知书，按程序进行审核；</w:t>
      </w:r>
    </w:p>
    <w:p w:rsidR="00835BD3" w:rsidRDefault="00835BD3" w:rsidP="00835BD3">
      <w:pPr>
        <w:adjustRightInd w:val="0"/>
        <w:snapToGrid w:val="0"/>
        <w:spacing w:line="540" w:lineRule="exact"/>
        <w:ind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5.</w:t>
      </w:r>
      <w:r>
        <w:rPr>
          <w:rFonts w:ascii="Times New Roman" w:eastAsia="仿宋_GB2312" w:hAnsi="Times New Roman"/>
          <w:sz w:val="30"/>
          <w:szCs w:val="30"/>
        </w:rPr>
        <w:t>不予许可的，出具不予许可通知书；许可的，向申请人出具相关业务办理凭证（包括业务登记凭证、核准文件、备案确认等）。</w:t>
      </w:r>
    </w:p>
    <w:p w:rsidR="00835BD3" w:rsidRDefault="00835BD3" w:rsidP="00835BD3">
      <w:pPr>
        <w:adjustRightInd w:val="0"/>
        <w:snapToGrid w:val="0"/>
        <w:spacing w:line="54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（九）办理方式</w:t>
      </w:r>
    </w:p>
    <w:p w:rsidR="00835BD3" w:rsidRDefault="00835BD3" w:rsidP="00835BD3">
      <w:pPr>
        <w:adjustRightInd w:val="0"/>
        <w:snapToGrid w:val="0"/>
        <w:spacing w:line="540" w:lineRule="exact"/>
        <w:ind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一般程序：申请、告知补正、受理、审核、许可或不予许可、出具相关业务办理凭证。</w:t>
      </w:r>
    </w:p>
    <w:p w:rsidR="00835BD3" w:rsidRDefault="00835BD3" w:rsidP="00835BD3">
      <w:pPr>
        <w:adjustRightInd w:val="0"/>
        <w:snapToGrid w:val="0"/>
        <w:spacing w:line="54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（十）审批时限</w:t>
      </w:r>
    </w:p>
    <w:p w:rsidR="00835BD3" w:rsidRDefault="00835BD3" w:rsidP="00835BD3">
      <w:pPr>
        <w:adjustRightInd w:val="0"/>
        <w:snapToGrid w:val="0"/>
        <w:spacing w:line="540" w:lineRule="exact"/>
        <w:ind w:firstLine="585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申请人提交材料齐备之日起</w:t>
      </w:r>
      <w:r>
        <w:rPr>
          <w:rFonts w:ascii="Times New Roman" w:eastAsia="仿宋_GB2312" w:hAnsi="Times New Roman"/>
          <w:sz w:val="30"/>
          <w:szCs w:val="30"/>
        </w:rPr>
        <w:t>20</w:t>
      </w:r>
      <w:r>
        <w:rPr>
          <w:rFonts w:ascii="Times New Roman" w:eastAsia="仿宋_GB2312" w:hAnsi="Times New Roman"/>
          <w:sz w:val="30"/>
          <w:szCs w:val="30"/>
        </w:rPr>
        <w:t>个工作日内。</w:t>
      </w:r>
    </w:p>
    <w:p w:rsidR="00835BD3" w:rsidRDefault="00835BD3" w:rsidP="00835BD3">
      <w:pPr>
        <w:adjustRightInd w:val="0"/>
        <w:snapToGrid w:val="0"/>
        <w:spacing w:line="540" w:lineRule="exact"/>
        <w:ind w:firstLine="585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（十一）审批收费依据及标准</w:t>
      </w:r>
    </w:p>
    <w:p w:rsidR="00835BD3" w:rsidRDefault="00835BD3" w:rsidP="00835BD3">
      <w:pPr>
        <w:adjustRightInd w:val="0"/>
        <w:snapToGrid w:val="0"/>
        <w:spacing w:line="540" w:lineRule="exact"/>
        <w:ind w:firstLine="585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不收费。</w:t>
      </w:r>
    </w:p>
    <w:p w:rsidR="00835BD3" w:rsidRDefault="00835BD3" w:rsidP="00835BD3">
      <w:pPr>
        <w:adjustRightInd w:val="0"/>
        <w:snapToGrid w:val="0"/>
        <w:spacing w:line="54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（十二）审批结果</w:t>
      </w:r>
    </w:p>
    <w:p w:rsidR="00835BD3" w:rsidRDefault="00835BD3" w:rsidP="00835BD3">
      <w:pPr>
        <w:adjustRightInd w:val="0"/>
        <w:snapToGrid w:val="0"/>
        <w:spacing w:line="540" w:lineRule="exact"/>
        <w:ind w:firstLine="600"/>
        <w:rPr>
          <w:rFonts w:ascii="Times New Roman" w:eastAsia="仿宋_GB2312" w:hAnsi="Times New Roman"/>
          <w:sz w:val="30"/>
        </w:rPr>
      </w:pPr>
      <w:r>
        <w:rPr>
          <w:rFonts w:ascii="Times New Roman" w:eastAsia="仿宋_GB2312" w:hAnsi="Times New Roman"/>
          <w:sz w:val="30"/>
        </w:rPr>
        <w:t>出具相关</w:t>
      </w:r>
      <w:r>
        <w:rPr>
          <w:rFonts w:ascii="Times New Roman" w:eastAsia="仿宋_GB2312" w:hAnsi="Times New Roman" w:hint="eastAsia"/>
          <w:sz w:val="30"/>
        </w:rPr>
        <w:t>核准文件</w:t>
      </w:r>
      <w:r>
        <w:rPr>
          <w:rFonts w:ascii="Times New Roman" w:eastAsia="仿宋_GB2312" w:hAnsi="Times New Roman"/>
          <w:sz w:val="30"/>
        </w:rPr>
        <w:t>。</w:t>
      </w:r>
    </w:p>
    <w:p w:rsidR="00835BD3" w:rsidRDefault="00835BD3" w:rsidP="00835BD3">
      <w:pPr>
        <w:adjustRightInd w:val="0"/>
        <w:snapToGrid w:val="0"/>
        <w:spacing w:line="540" w:lineRule="exact"/>
        <w:ind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（十三）结果送达</w:t>
      </w:r>
    </w:p>
    <w:p w:rsidR="00835BD3" w:rsidRDefault="00835BD3" w:rsidP="00835BD3">
      <w:pPr>
        <w:adjustRightInd w:val="0"/>
        <w:snapToGrid w:val="0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通过现场告知或电话通知申请人，并通过现场领取或通过邮寄方式将结果送达。</w:t>
      </w:r>
    </w:p>
    <w:p w:rsidR="00835BD3" w:rsidRDefault="00835BD3" w:rsidP="00835BD3">
      <w:pPr>
        <w:adjustRightInd w:val="0"/>
        <w:snapToGrid w:val="0"/>
        <w:spacing w:line="540" w:lineRule="exact"/>
        <w:ind w:firstLine="600"/>
        <w:outlineLvl w:val="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（十四）申请人权利和义务</w:t>
      </w:r>
    </w:p>
    <w:p w:rsidR="00835BD3" w:rsidRDefault="00835BD3" w:rsidP="00835BD3">
      <w:pPr>
        <w:adjustRightInd w:val="0"/>
        <w:snapToGrid w:val="0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申请人有权依法提出行政审批申请，依法进行投诉、举报、复议、诉讼等。申请人有义务保证申请材料完整、真实、准确，获批后合法合规办理相关业务，重要信息发生变更按规定及时报备，全面、及时、准确报送相关数据信息等。</w:t>
      </w:r>
    </w:p>
    <w:p w:rsidR="00835BD3" w:rsidRDefault="00835BD3" w:rsidP="00835BD3">
      <w:pPr>
        <w:adjustRightInd w:val="0"/>
        <w:snapToGrid w:val="0"/>
        <w:spacing w:line="540" w:lineRule="exact"/>
        <w:ind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（十五）</w:t>
      </w:r>
      <w:r w:rsidRPr="009464D7">
        <w:rPr>
          <w:rFonts w:ascii="黑体" w:eastAsia="黑体" w:hAnsi="黑体" w:hint="eastAsia"/>
          <w:sz w:val="30"/>
          <w:szCs w:val="30"/>
        </w:rPr>
        <w:t>咨询途径、监督和投诉、办公地址和时间</w:t>
      </w:r>
    </w:p>
    <w:p w:rsidR="00835BD3" w:rsidRDefault="00835BD3" w:rsidP="00835BD3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7E3AD1">
        <w:rPr>
          <w:rFonts w:ascii="仿宋_GB2312" w:eastAsia="仿宋_GB2312" w:hint="eastAsia"/>
          <w:b/>
          <w:sz w:val="30"/>
          <w:szCs w:val="30"/>
        </w:rPr>
        <w:t>办理时间：</w:t>
      </w:r>
    </w:p>
    <w:p w:rsidR="00835BD3" w:rsidRDefault="00835BD3" w:rsidP="00835BD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国家外汇管理局天津市分局：周一到周五（法定节假日除外）上午8：30-12：00，下午14：00-17：00</w:t>
      </w:r>
    </w:p>
    <w:p w:rsidR="00835BD3" w:rsidRPr="007E3AD1" w:rsidRDefault="00835BD3" w:rsidP="00835BD3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7E3AD1">
        <w:rPr>
          <w:rFonts w:ascii="仿宋_GB2312" w:eastAsia="仿宋_GB2312" w:hint="eastAsia"/>
          <w:b/>
          <w:sz w:val="30"/>
          <w:szCs w:val="30"/>
        </w:rPr>
        <w:t>办理地点：</w:t>
      </w:r>
    </w:p>
    <w:p w:rsidR="00835BD3" w:rsidRDefault="00835BD3" w:rsidP="00835BD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国家外汇管理局天津市分局：天津市和平区解放北路117号灰楼一楼大厅（资本项目）</w:t>
      </w:r>
    </w:p>
    <w:p w:rsidR="00835BD3" w:rsidRPr="0021615A" w:rsidRDefault="00835BD3" w:rsidP="00835BD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E3AD1">
        <w:rPr>
          <w:rFonts w:ascii="仿宋_GB2312" w:eastAsia="仿宋_GB2312" w:hint="eastAsia"/>
          <w:b/>
          <w:sz w:val="30"/>
          <w:szCs w:val="30"/>
        </w:rPr>
        <w:t>咨询电话：</w:t>
      </w:r>
      <w:r>
        <w:rPr>
          <w:rFonts w:ascii="仿宋_GB2312" w:eastAsia="仿宋_GB2312" w:hint="eastAsia"/>
          <w:sz w:val="30"/>
          <w:szCs w:val="30"/>
        </w:rPr>
        <w:t xml:space="preserve">022-23209129  </w:t>
      </w:r>
    </w:p>
    <w:p w:rsidR="00835BD3" w:rsidRPr="00722009" w:rsidRDefault="00835BD3" w:rsidP="00835BD3">
      <w:pPr>
        <w:ind w:firstLine="600"/>
        <w:rPr>
          <w:rFonts w:ascii="仿宋_GB2312" w:eastAsia="仿宋_GB2312"/>
          <w:sz w:val="30"/>
          <w:szCs w:val="30"/>
        </w:rPr>
      </w:pPr>
      <w:r w:rsidRPr="00DB43DE">
        <w:rPr>
          <w:rFonts w:ascii="仿宋_GB2312" w:eastAsia="仿宋_GB2312" w:hint="eastAsia"/>
          <w:b/>
          <w:sz w:val="30"/>
          <w:szCs w:val="30"/>
        </w:rPr>
        <w:t>投诉电话：</w:t>
      </w:r>
      <w:r>
        <w:rPr>
          <w:rFonts w:ascii="仿宋_GB2312" w:eastAsia="仿宋_GB2312" w:hint="eastAsia"/>
          <w:sz w:val="30"/>
          <w:szCs w:val="30"/>
        </w:rPr>
        <w:t>022-23209321</w:t>
      </w:r>
    </w:p>
    <w:p w:rsidR="00835BD3" w:rsidRPr="004C1D55" w:rsidRDefault="00835BD3" w:rsidP="00835BD3">
      <w:pPr>
        <w:adjustRightInd w:val="0"/>
        <w:snapToGrid w:val="0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</w:p>
    <w:p w:rsidR="00835BD3" w:rsidRDefault="00835BD3" w:rsidP="00835BD3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  <w:r>
        <w:rPr>
          <w:rFonts w:ascii="Times New Roman" w:eastAsia="仿宋_GB2312" w:hAnsi="Times New Roman"/>
          <w:sz w:val="30"/>
          <w:szCs w:val="30"/>
        </w:rPr>
        <w:lastRenderedPageBreak/>
        <w:t>附录一</w:t>
      </w:r>
      <w:r>
        <w:rPr>
          <w:rFonts w:ascii="Times New Roman" w:eastAsia="仿宋_GB2312" w:hAnsi="Times New Roman"/>
          <w:sz w:val="30"/>
          <w:szCs w:val="30"/>
        </w:rPr>
        <w:t xml:space="preserve">          </w:t>
      </w:r>
    </w:p>
    <w:p w:rsidR="00835BD3" w:rsidRDefault="00835BD3" w:rsidP="00835BD3">
      <w:pPr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基本流程图</w:t>
      </w:r>
    </w:p>
    <w:p w:rsidR="00835BD3" w:rsidRPr="00CD70F0" w:rsidRDefault="008C797F" w:rsidP="00835BD3">
      <w:pPr>
        <w:ind w:right="300"/>
        <w:rPr>
          <w:rFonts w:ascii="仿宋_GB2312" w:eastAsia="仿宋_GB2312"/>
          <w:sz w:val="30"/>
          <w:szCs w:val="30"/>
        </w:rPr>
      </w:pPr>
      <w:r w:rsidRPr="008C797F">
        <w:pict>
          <v:group id="_x0000_s1026" style="position:absolute;left:0;text-align:left;margin-left:-12.65pt;margin-top:4.6pt;width:446.05pt;height:586.05pt;z-index:251660288" coordsize="8921,11721">
            <v:rect id="_x0000_s1027" style="position:absolute;left:2908;top:8319;width:2985;height:534" o:preferrelative="t">
              <v:stroke miterlimit="2"/>
              <v:textbox>
                <w:txbxContent>
                  <w:p w:rsidR="00835BD3" w:rsidRDefault="00835BD3" w:rsidP="00835BD3">
                    <w:pPr>
                      <w:jc w:val="center"/>
                    </w:pPr>
                    <w:r>
                      <w:t>审核</w:t>
                    </w:r>
                  </w:p>
                </w:txbxContent>
              </v:textbox>
            </v:re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8" type="#_x0000_t116" style="position:absolute;left:4420;top:10681;width:3675;height:1037" o:preferrelative="t">
              <v:stroke miterlimit="2"/>
              <v:textbox>
                <w:txbxContent>
                  <w:p w:rsidR="00835BD3" w:rsidRDefault="00835BD3" w:rsidP="00835BD3">
                    <w:pPr>
                      <w:jc w:val="center"/>
                    </w:pPr>
                    <w:r>
                      <w:rPr>
                        <w:rFonts w:hint="eastAsia"/>
                      </w:rPr>
                      <w:t>依法作出不予许可决定，</w:t>
                    </w:r>
                  </w:p>
                  <w:p w:rsidR="00835BD3" w:rsidRDefault="00835BD3" w:rsidP="00835BD3">
                    <w:pPr>
                      <w:jc w:val="center"/>
                    </w:pPr>
                    <w:r>
                      <w:rPr>
                        <w:rFonts w:hint="eastAsia"/>
                      </w:rPr>
                      <w:t>并送达</w:t>
                    </w:r>
                  </w:p>
                </w:txbxContent>
              </v:textbox>
            </v:shape>
            <v:shape id="_x0000_s1029" type="#_x0000_t116" style="position:absolute;left:695;top:10663;width:3461;height:1058" o:preferrelative="t">
              <v:stroke miterlimit="2"/>
              <v:textbox>
                <w:txbxContent>
                  <w:p w:rsidR="00835BD3" w:rsidRDefault="00835BD3" w:rsidP="00835BD3">
                    <w:pPr>
                      <w:jc w:val="center"/>
                    </w:pPr>
                    <w:r>
                      <w:rPr>
                        <w:rFonts w:hint="eastAsia"/>
                      </w:rPr>
                      <w:t>依法予以许可，出具相关</w:t>
                    </w:r>
                  </w:p>
                  <w:p w:rsidR="00835BD3" w:rsidRDefault="00835BD3" w:rsidP="00835BD3">
                    <w:pPr>
                      <w:jc w:val="center"/>
                    </w:pPr>
                    <w:r>
                      <w:rPr>
                        <w:rFonts w:hint="eastAsia"/>
                      </w:rPr>
                      <w:t>业务办理凭证，并送达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4382;top:7693;width:1;height:626" o:preferrelative="t" filled="t">
              <v:stroke endarrow="block" miterlimit="2"/>
            </v:shape>
            <v:shape id="_x0000_s1031" type="#_x0000_t32" style="position:absolute;left:6331;top:9568;width:17;height:1095" o:preferrelative="t" filled="t">
              <v:stroke endarrow="block" miterlimit="2"/>
            </v:shape>
            <v:shape id="_x0000_s1032" type="#_x0000_t32" style="position:absolute;left:2358;top:9568;width:1;height:1035" o:preferrelative="t" filled="t">
              <v:stroke endarrow="block" miterlimit="2"/>
            </v:shape>
            <v:shape id="_x0000_s1033" type="#_x0000_t32" style="position:absolute;left:4383;top:8853;width:1;height:715" o:preferrelative="t" filled="t">
              <v:stroke miterlimit="2"/>
            </v:shape>
            <v:shape id="_x0000_s1034" type="#_x0000_t32" style="position:absolute;left:2359;top:9568;width:3972;height:0" o:preferrelative="t" filled="t">
              <v:stroke miterlimit="2"/>
            </v:shape>
            <v:group id="组合 1727" o:spid="_x0000_s1035" style="position:absolute;width:8921;height:7693" coordsize="8921,7693">
              <v:shape id="_x0000_s1036" type="#_x0000_t32" style="position:absolute;left:5893;top:6566;width:0;height:608" o:preferrelative="t" filled="t">
                <v:stroke endarrow="block" miterlimit="2"/>
              </v:shape>
              <v:group id="组合 1729" o:spid="_x0000_s1037" style="position:absolute;width:8921;height:7693" coordsize="8921,7693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8" type="#_x0000_t34" style="position:absolute;left:6366;top:3154;width:3823;height:1285;rotation:270" o:preferrelative="t" adj="33" filled="t">
                  <v:stroke miterlimit="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7996;top:2297;width:754;height:2553" o:preferrelative="t" strokecolor="white">
                  <v:stroke miterlimit="2"/>
                  <v:textbox>
                    <w:txbxContent>
                      <w:p w:rsidR="00835BD3" w:rsidRDefault="00835BD3" w:rsidP="00835BD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不能提供符合受理要求的</w:t>
                        </w:r>
                      </w:p>
                      <w:p w:rsidR="00835BD3" w:rsidRDefault="00835BD3" w:rsidP="00835BD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材料</w:t>
                        </w:r>
                      </w:p>
                    </w:txbxContent>
                  </v:textbox>
                </v:shape>
                <v:shape id="_x0000_s1040" type="#_x0000_t32" style="position:absolute;left:5893;top:4472;width:0;height:378" o:preferrelative="t" filled="t">
                  <v:stroke endarrow="block" miterlimit="2"/>
                </v:shape>
                <v:shape id="_x0000_s1041" type="#_x0000_t202" style="position:absolute;left:2568;top:6566;width:2737;height:477" o:preferrelative="t" strokecolor="white">
                  <v:stroke miterlimit="2"/>
                  <v:textbox>
                    <w:txbxContent>
                      <w:p w:rsidR="00835BD3" w:rsidRDefault="00835BD3" w:rsidP="00835BD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材料齐全并符合受理要求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42" type="#_x0000_t4" style="position:absolute;left:4156;top:4833;width:3480;height:1733" o:preferrelative="t">
                  <v:stroke miterlimit="2"/>
                  <v:textbox>
                    <w:txbxContent>
                      <w:p w:rsidR="00835BD3" w:rsidRDefault="00835BD3" w:rsidP="00835BD3">
                        <w:pPr>
                          <w:jc w:val="center"/>
                        </w:pPr>
                      </w:p>
                      <w:p w:rsidR="00835BD3" w:rsidRDefault="00835BD3" w:rsidP="00835BD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申请人补充材料</w:t>
                        </w:r>
                      </w:p>
                    </w:txbxContent>
                  </v:textbox>
                </v:shape>
                <v:rect id="_x0000_s1043" style="position:absolute;left:2568;top:7174;width:4816;height:519" o:preferrelative="t">
                  <v:stroke miterlimit="2"/>
                  <v:textbox>
                    <w:txbxContent>
                      <w:p w:rsidR="00835BD3" w:rsidRDefault="00835BD3" w:rsidP="00835BD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依法应予受理，出具行政审批受理单</w:t>
                        </w:r>
                      </w:p>
                      <w:p w:rsidR="00835BD3" w:rsidRDefault="00835BD3" w:rsidP="00835BD3">
                        <w:pPr>
                          <w:jc w:val="center"/>
                        </w:pPr>
                      </w:p>
                    </w:txbxContent>
                  </v:textbox>
                </v:rect>
                <v:rect id="_x0000_s1044" style="position:absolute;left:4566;top:3341;width:3190;height:1114" o:preferrelative="t">
                  <v:stroke miterlimit="2"/>
                  <v:textbox>
                    <w:txbxContent>
                      <w:p w:rsidR="00835BD3" w:rsidRDefault="00835BD3" w:rsidP="00835BD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材料不全或不符合法定形式的，</w:t>
                        </w:r>
                      </w:p>
                      <w:p w:rsidR="00835BD3" w:rsidRDefault="00835BD3" w:rsidP="00835BD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一次性告知补正材料，</w:t>
                        </w:r>
                      </w:p>
                      <w:p w:rsidR="00835BD3" w:rsidRDefault="00835BD3" w:rsidP="00835BD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出具行政审批补正材料通知书</w:t>
                        </w:r>
                      </w:p>
                      <w:p w:rsidR="00835BD3" w:rsidRDefault="00835BD3" w:rsidP="00835BD3"/>
                    </w:txbxContent>
                  </v:textbox>
                </v:rect>
                <v:shape id="_x0000_s1045" type="#_x0000_t116" style="position:absolute;left:4566;top:1337;width:2818;height:1423" o:preferrelative="t">
                  <v:stroke miterlimit="2"/>
                  <v:textbox>
                    <w:txbxContent>
                      <w:p w:rsidR="00835BD3" w:rsidRDefault="00835BD3" w:rsidP="00835BD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依法不予受理的，作出不予受理决定，出具不予受理行政审批申请通知书</w:t>
                        </w:r>
                      </w:p>
                      <w:p w:rsidR="00835BD3" w:rsidRDefault="00835BD3" w:rsidP="00835BD3">
                        <w:pPr>
                          <w:jc w:val="center"/>
                        </w:pPr>
                      </w:p>
                    </w:txbxContent>
                  </v:textbox>
                </v:shape>
                <v:group id="组合 1738" o:spid="_x0000_s1046" style="position:absolute;width:4594;height:7424" coordsize="4594,7424">
                  <v:shape id="_x0000_s1047" type="#_x0000_t32" style="position:absolute;left:3663;top:3910;width:931;height:0" o:preferrelative="t" filled="t">
                    <v:stroke endarrow="block" miterlimit="2"/>
                  </v:shape>
                  <v:shape id="_x0000_s1048" type="#_x0000_t32" style="position:absolute;left:1355;top:3986;width:1;height:3437" o:preferrelative="t" filled="t">
                    <v:stroke miterlimit="2"/>
                  </v:shape>
                  <v:group id="组合 1741" o:spid="_x0000_s1049" style="position:absolute;width:3629;height:3986" coordsize="3629,3986">
                    <v:shape id="_x0000_s1050" type="#_x0000_t32" style="position:absolute;left:1396;top:1172;width:1;height:764" o:preferrelative="t" filled="t">
                      <v:stroke endarrow="block" miterlimit="2"/>
                    </v:shape>
                    <v:shape id="_x0000_s1051" type="#_x0000_t32" style="position:absolute;left:2400;top:2967;width:1229;height:0" o:preferrelative="t" filled="t">
                      <v:stroke miterlimit="2"/>
                    </v:shape>
                    <v:shape id="_x0000_s1052" type="#_x0000_t4" style="position:absolute;top:1936;width:2773;height:2050" o:preferrelative="t">
                      <v:stroke miterlimit="2"/>
                      <v:textbox>
                        <w:txbxContent>
                          <w:p w:rsidR="00835BD3" w:rsidRDefault="00835BD3" w:rsidP="00835BD3">
                            <w:r>
                              <w:rPr>
                                <w:rFonts w:hint="eastAsia"/>
                              </w:rPr>
                              <w:t>接件（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个工作日）作出是否受理决定</w:t>
                            </w:r>
                          </w:p>
                          <w:p w:rsidR="00835BD3" w:rsidRDefault="00835BD3" w:rsidP="00835BD3"/>
                        </w:txbxContent>
                      </v:textbox>
                    </v:shape>
                    <v:shape id="_x0000_s1053" type="#_x0000_t116" style="position:absolute;left:184;width:2724;height:1172" o:preferrelative="t">
                      <v:stroke miterlimit="2"/>
                      <v:textbox>
                        <w:txbxContent>
                          <w:p w:rsidR="00835BD3" w:rsidRDefault="00835BD3" w:rsidP="00835B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申请人提出书面申请，并提交材料</w:t>
                            </w:r>
                          </w:p>
                        </w:txbxContent>
                      </v:textbox>
                    </v:shape>
                  </v:group>
                  <v:shape id="_x0000_s1054" type="#_x0000_t32" style="position:absolute;left:1355;top:7423;width:1213;height:1" o:preferrelative="t" filled="t">
                    <v:stroke endarrow="block" miterlimit="2"/>
                  </v:shape>
                  <v:shape id="_x0000_s1055" type="#_x0000_t32" style="position:absolute;left:3663;top:1999;width:0;height:1921" o:preferrelative="t" filled="t">
                    <v:stroke miterlimit="2"/>
                  </v:shape>
                  <v:shape id="_x0000_s1056" type="#_x0000_t32" style="position:absolute;left:3663;top:1989;width:903;height:1" o:preferrelative="t" filled="t">
                    <v:stroke endarrow="block" miterlimit="2"/>
                  </v:shape>
                  <v:shape id="_x0000_s1057" type="#_x0000_t202" style="position:absolute;left:597;top:5280;width:508;height:1152" o:preferrelative="t" strokecolor="white">
                    <v:stroke miterlimit="2"/>
                    <v:textbox>
                      <w:txbxContent>
                        <w:p w:rsidR="00835BD3" w:rsidRDefault="00835BD3" w:rsidP="00835BD3">
                          <w:r>
                            <w:rPr>
                              <w:rFonts w:hint="eastAsia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_x0000_s1058" type="#_x0000_t202" style="position:absolute;left:2799;top:2220;width:508;height:471" o:preferrelative="t" strokecolor="white">
                    <v:stroke miterlimit="2"/>
                    <v:textbox style="mso-fit-shape-to-text:t">
                      <w:txbxContent>
                        <w:p w:rsidR="00835BD3" w:rsidRDefault="00835BD3" w:rsidP="00835BD3">
                          <w:r>
                            <w:rPr>
                              <w:rFonts w:hint="eastAsia"/>
                            </w:rPr>
                            <w:t>否</w:t>
                          </w:r>
                        </w:p>
                      </w:txbxContent>
                    </v:textbox>
                  </v:shape>
                </v:group>
                <v:shape id="_x0000_s1059" type="#_x0000_t32" style="position:absolute;left:7384;top:1886;width:1537;height:0;flip:x" o:preferrelative="t" filled="t">
                  <v:stroke endarrow="block" miterlimit="2"/>
                </v:shape>
              </v:group>
            </v:group>
          </v:group>
        </w:pict>
      </w: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  <w:r w:rsidRPr="00CD70F0">
        <w:rPr>
          <w:rFonts w:ascii="仿宋_GB2312" w:eastAsia="仿宋_GB2312"/>
          <w:sz w:val="30"/>
          <w:szCs w:val="30"/>
        </w:rPr>
        <w:tab/>
      </w: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Pr="00CD70F0" w:rsidRDefault="00835BD3" w:rsidP="00835BD3">
      <w:pPr>
        <w:ind w:right="300"/>
        <w:rPr>
          <w:rFonts w:ascii="仿宋_GB2312" w:eastAsia="仿宋_GB2312"/>
          <w:sz w:val="30"/>
          <w:szCs w:val="30"/>
        </w:rPr>
      </w:pPr>
    </w:p>
    <w:p w:rsidR="00835BD3" w:rsidRDefault="00835BD3" w:rsidP="00835BD3">
      <w:pPr>
        <w:widowControl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  <w:r>
        <w:rPr>
          <w:rFonts w:ascii="Times New Roman" w:eastAsia="仿宋_GB2312" w:hAnsi="Times New Roman"/>
          <w:sz w:val="30"/>
          <w:szCs w:val="30"/>
        </w:rPr>
        <w:lastRenderedPageBreak/>
        <w:t>附录二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835BD3" w:rsidRDefault="00835BD3" w:rsidP="00835BD3">
      <w:pPr>
        <w:widowControl/>
        <w:adjustRightInd w:val="0"/>
        <w:snapToGrid w:val="0"/>
        <w:spacing w:line="360" w:lineRule="auto"/>
        <w:jc w:val="center"/>
        <w:rPr>
          <w:rFonts w:ascii="Times New Roman" w:eastAsia="黑体" w:hAnsi="黑体"/>
          <w:sz w:val="30"/>
          <w:szCs w:val="30"/>
        </w:rPr>
      </w:pPr>
    </w:p>
    <w:p w:rsidR="00835BD3" w:rsidRDefault="00835BD3" w:rsidP="00835BD3">
      <w:pPr>
        <w:widowControl/>
        <w:adjustRightInd w:val="0"/>
        <w:snapToGrid w:val="0"/>
        <w:spacing w:line="360" w:lineRule="auto"/>
        <w:jc w:val="center"/>
        <w:rPr>
          <w:rFonts w:ascii="Times New Roman" w:eastAsia="黑体" w:hAnsi="黑体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常见问题</w:t>
      </w:r>
    </w:p>
    <w:p w:rsidR="00835BD3" w:rsidRDefault="00835BD3" w:rsidP="00835BD3">
      <w:pPr>
        <w:widowControl/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0"/>
          <w:szCs w:val="30"/>
        </w:rPr>
      </w:pPr>
    </w:p>
    <w:p w:rsidR="00835BD3" w:rsidRDefault="00835BD3" w:rsidP="00835BD3">
      <w:pPr>
        <w:pStyle w:val="4"/>
        <w:adjustRightInd w:val="0"/>
        <w:snapToGrid w:val="0"/>
        <w:spacing w:line="360" w:lineRule="auto"/>
        <w:ind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bCs/>
          <w:kern w:val="0"/>
          <w:sz w:val="30"/>
          <w:szCs w:val="30"/>
        </w:rPr>
        <w:t>问：申请上市公司回购</w:t>
      </w:r>
      <w:r>
        <w:rPr>
          <w:rFonts w:ascii="Times New Roman" w:eastAsia="仿宋_GB2312" w:hAnsi="Times New Roman"/>
          <w:bCs/>
          <w:kern w:val="0"/>
          <w:sz w:val="30"/>
          <w:szCs w:val="30"/>
        </w:rPr>
        <w:t>B</w:t>
      </w:r>
      <w:r>
        <w:rPr>
          <w:rFonts w:ascii="Times New Roman" w:eastAsia="仿宋_GB2312" w:hAnsi="Times New Roman"/>
          <w:bCs/>
          <w:kern w:val="0"/>
          <w:sz w:val="30"/>
          <w:szCs w:val="30"/>
        </w:rPr>
        <w:t>股股份购汇额度审批，需要提交什么材</w:t>
      </w:r>
      <w:r>
        <w:rPr>
          <w:rFonts w:ascii="Times New Roman" w:eastAsia="仿宋_GB2312" w:hAnsi="Times New Roman"/>
          <w:kern w:val="0"/>
          <w:sz w:val="30"/>
          <w:szCs w:val="30"/>
        </w:rPr>
        <w:t>料？</w:t>
      </w:r>
    </w:p>
    <w:p w:rsidR="00835BD3" w:rsidRDefault="00835BD3" w:rsidP="00835BD3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答：应当提交如下材料：</w:t>
      </w:r>
    </w:p>
    <w:p w:rsidR="00835BD3" w:rsidRDefault="00835BD3" w:rsidP="00835BD3">
      <w:pPr>
        <w:pStyle w:val="4"/>
        <w:adjustRightInd w:val="0"/>
        <w:snapToGrid w:val="0"/>
        <w:spacing w:line="360" w:lineRule="auto"/>
        <w:ind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1.</w:t>
      </w:r>
      <w:r>
        <w:rPr>
          <w:rFonts w:ascii="Times New Roman" w:eastAsia="仿宋_GB2312" w:hAnsi="Times New Roman"/>
          <w:kern w:val="0"/>
          <w:sz w:val="30"/>
          <w:szCs w:val="30"/>
        </w:rPr>
        <w:t>书面申请（说明回购的原因、方案，是否已向国家证券监督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管理</w:t>
      </w:r>
      <w:r>
        <w:rPr>
          <w:rFonts w:ascii="Times New Roman" w:eastAsia="仿宋_GB2312" w:hAnsi="Times New Roman"/>
          <w:kern w:val="0"/>
          <w:sz w:val="30"/>
          <w:szCs w:val="30"/>
        </w:rPr>
        <w:t>报备等情况）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；</w:t>
      </w:r>
    </w:p>
    <w:p w:rsidR="00835BD3" w:rsidRDefault="00835BD3" w:rsidP="00835BD3">
      <w:pPr>
        <w:pStyle w:val="4"/>
        <w:adjustRightInd w:val="0"/>
        <w:snapToGrid w:val="0"/>
        <w:spacing w:line="360" w:lineRule="auto"/>
        <w:ind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>2</w:t>
      </w:r>
      <w:r>
        <w:rPr>
          <w:rFonts w:ascii="Times New Roman" w:eastAsia="仿宋_GB2312" w:hAnsi="Times New Roman"/>
          <w:kern w:val="0"/>
          <w:sz w:val="30"/>
          <w:szCs w:val="30"/>
        </w:rPr>
        <w:t>.</w:t>
      </w:r>
      <w:r>
        <w:rPr>
          <w:rFonts w:ascii="Times New Roman" w:eastAsia="仿宋_GB2312" w:hAnsi="Times New Roman"/>
          <w:kern w:val="0"/>
          <w:sz w:val="30"/>
          <w:szCs w:val="30"/>
        </w:rPr>
        <w:t>经公告的有关回购事项的股东大会决议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和</w:t>
      </w:r>
      <w:r>
        <w:rPr>
          <w:rFonts w:ascii="Times New Roman" w:eastAsia="仿宋_GB2312" w:hAnsi="Times New Roman"/>
          <w:kern w:val="0"/>
          <w:sz w:val="30"/>
          <w:szCs w:val="30"/>
        </w:rPr>
        <w:t>回购报告书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；</w:t>
      </w:r>
    </w:p>
    <w:p w:rsidR="00835BD3" w:rsidRDefault="00835BD3" w:rsidP="00835BD3">
      <w:pPr>
        <w:pStyle w:val="4"/>
        <w:adjustRightInd w:val="0"/>
        <w:snapToGrid w:val="0"/>
        <w:spacing w:line="360" w:lineRule="auto"/>
        <w:ind w:firstLine="600"/>
        <w:rPr>
          <w:rFonts w:ascii="Times New Roman" w:eastAsia="华文仿宋" w:hAnsi="Times New Roman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>3</w:t>
      </w:r>
      <w:r>
        <w:rPr>
          <w:rFonts w:ascii="Times New Roman" w:eastAsia="仿宋_GB2312" w:hAnsi="Times New Roman"/>
          <w:kern w:val="0"/>
          <w:sz w:val="30"/>
          <w:szCs w:val="30"/>
        </w:rPr>
        <w:t>.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相关主管部门的批复文件（如有）。</w:t>
      </w:r>
    </w:p>
    <w:p w:rsidR="00467559" w:rsidRPr="00835BD3" w:rsidRDefault="00467559"/>
    <w:sectPr w:rsidR="00467559" w:rsidRPr="00835BD3" w:rsidSect="00467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53" w:rsidRDefault="00E03153" w:rsidP="009A1572">
      <w:r>
        <w:separator/>
      </w:r>
    </w:p>
  </w:endnote>
  <w:endnote w:type="continuationSeparator" w:id="1">
    <w:p w:rsidR="00E03153" w:rsidRDefault="00E03153" w:rsidP="009A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72" w:rsidRDefault="009A1572">
    <w:pPr>
      <w:pStyle w:val="a5"/>
      <w:jc w:val="center"/>
    </w:pPr>
    <w:fldSimple w:instr=" PAGE   \* MERGEFORMAT ">
      <w:r w:rsidRPr="009A1572">
        <w:rPr>
          <w:noProof/>
          <w:lang w:val="zh-CN"/>
        </w:rPr>
        <w:t>2</w:t>
      </w:r>
    </w:fldSimple>
  </w:p>
  <w:p w:rsidR="009A1572" w:rsidRDefault="009A15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53" w:rsidRDefault="00E03153" w:rsidP="009A1572">
      <w:r>
        <w:separator/>
      </w:r>
    </w:p>
  </w:footnote>
  <w:footnote w:type="continuationSeparator" w:id="1">
    <w:p w:rsidR="00E03153" w:rsidRDefault="00E03153" w:rsidP="009A1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BD3"/>
    <w:rsid w:val="00351999"/>
    <w:rsid w:val="003A7F6C"/>
    <w:rsid w:val="00467559"/>
    <w:rsid w:val="00835BD3"/>
    <w:rsid w:val="008C797F"/>
    <w:rsid w:val="009A1572"/>
    <w:rsid w:val="00A529A2"/>
    <w:rsid w:val="00E0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30"/>
        <o:r id="V:Rule18" type="connector" idref="#_x0000_s1034"/>
        <o:r id="V:Rule19" type="connector" idref="#_x0000_s1033"/>
        <o:r id="V:Rule20" type="connector" idref="#_x0000_s1051"/>
        <o:r id="V:Rule21" type="connector" idref="#_x0000_s1040"/>
        <o:r id="V:Rule22" type="connector" idref="#_x0000_s1059"/>
        <o:r id="V:Rule23" type="connector" idref="#_x0000_s1050"/>
        <o:r id="V:Rule24" type="connector" idref="#_x0000_s1038"/>
        <o:r id="V:Rule25" type="connector" idref="#_x0000_s1031"/>
        <o:r id="V:Rule26" type="connector" idref="#_x0000_s1054"/>
        <o:r id="V:Rule27" type="connector" idref="#_x0000_s1055"/>
        <o:r id="V:Rule28" type="connector" idref="#_x0000_s1047"/>
        <o:r id="V:Rule29" type="connector" idref="#_x0000_s1056"/>
        <o:r id="V:Rule30" type="connector" idref="#_x0000_s1036"/>
        <o:r id="V:Rule31" type="connector" idref="#_x0000_s1048"/>
        <o:r id="V:Rule3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D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A1572"/>
    <w:pPr>
      <w:ind w:firstLineChars="200" w:firstLine="600"/>
      <w:outlineLvl w:val="0"/>
    </w:pPr>
    <w:rPr>
      <w:rFonts w:ascii="黑体" w:eastAsia="黑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列出段落4"/>
    <w:basedOn w:val="a"/>
    <w:qFormat/>
    <w:rsid w:val="00835BD3"/>
    <w:pPr>
      <w:ind w:firstLineChars="200" w:firstLine="200"/>
    </w:pPr>
  </w:style>
  <w:style w:type="paragraph" w:styleId="a3">
    <w:name w:val="Balloon Text"/>
    <w:basedOn w:val="a"/>
    <w:link w:val="Char"/>
    <w:uiPriority w:val="99"/>
    <w:semiHidden/>
    <w:unhideWhenUsed/>
    <w:rsid w:val="003A7F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7F6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A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A15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A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A1572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A1572"/>
    <w:rPr>
      <w:rFonts w:ascii="黑体" w:eastAsia="黑体" w:hAnsi="Calibri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刘泽阳</dc:creator>
  <cp:lastModifiedBy>刘泽阳</cp:lastModifiedBy>
  <cp:revision>3</cp:revision>
  <dcterms:created xsi:type="dcterms:W3CDTF">2021-11-09T03:56:00Z</dcterms:created>
  <dcterms:modified xsi:type="dcterms:W3CDTF">2021-11-09T06:09:00Z</dcterms:modified>
</cp:coreProperties>
</file>