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460"/>
        </w:tabs>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 xml:space="preserve">编号：57016               </w:t>
      </w:r>
      <w:r>
        <w:rPr>
          <w:rFonts w:ascii="Times New Roman" w:hAnsi="Times New Roman" w:eastAsia="黑体" w:cs="Times New Roman"/>
          <w:kern w:val="2"/>
          <w:sz w:val="48"/>
          <w:szCs w:val="48"/>
          <w:lang w:val="en-US" w:eastAsia="zh-CN" w:bidi="ar-SA"/>
        </w:rPr>
        <w:pict>
          <v:shape id="图片 1" o:spid="_x0000_s1028"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30"/>
          <w:szCs w:val="30"/>
        </w:rPr>
      </w:pPr>
    </w:p>
    <w:p>
      <w:pPr>
        <w:tabs>
          <w:tab w:val="left" w:pos="5460"/>
        </w:tabs>
        <w:ind w:right="300"/>
        <w:jc w:val="center"/>
        <w:rPr>
          <w:rFonts w:ascii="Times New Roman" w:hAnsi="Times New Roman" w:eastAsia="黑体" w:cs="Times New Roman"/>
          <w:color w:val="auto"/>
          <w:sz w:val="52"/>
          <w:szCs w:val="52"/>
        </w:rPr>
      </w:pPr>
    </w:p>
    <w:p>
      <w:pPr>
        <w:tabs>
          <w:tab w:val="left" w:pos="5460"/>
        </w:tabs>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“外币现钞提取、调运和携带出境审核”行政审批服务指南</w:t>
      </w: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tabs>
          <w:tab w:val="left" w:pos="5460"/>
        </w:tabs>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w:t>
      </w:r>
      <w:bookmarkStart w:id="0" w:name="_GoBack"/>
      <w:r>
        <w:rPr>
          <w:rFonts w:hint="eastAsia" w:ascii="Times New Roman" w:hAnsi="Times New Roman" w:eastAsia="仿宋_GB2312" w:cs="Times New Roman"/>
          <w:sz w:val="30"/>
          <w:szCs w:val="30"/>
          <w:lang w:eastAsia="zh-CN"/>
        </w:rPr>
        <w:t>分局</w:t>
      </w:r>
      <w:bookmarkEnd w:id="0"/>
    </w:p>
    <w:p>
      <w:pPr>
        <w:tabs>
          <w:tab w:val="left" w:pos="5460"/>
        </w:tabs>
        <w:ind w:right="300"/>
        <w:jc w:val="left"/>
        <w:rPr>
          <w:rFonts w:ascii="Times New Roman" w:hAnsi="Times New Roman" w:eastAsia="黑体" w:cs="Times New Roman"/>
          <w:color w:val="auto"/>
          <w:sz w:val="48"/>
          <w:szCs w:val="48"/>
        </w:rPr>
        <w:sectPr>
          <w:footerReference r:id="rId4" w:type="default"/>
          <w:type w:val="continuous"/>
          <w:pgSz w:w="11906" w:h="16838"/>
          <w:pgMar w:top="1440" w:right="1800" w:bottom="1440" w:left="1800" w:header="851" w:footer="992" w:gutter="0"/>
          <w:pgNumType w:fmt="decimal"/>
          <w:cols w:space="720" w:num="1"/>
          <w:docGrid w:type="lines" w:linePitch="312" w:charSpace="0"/>
        </w:sectPr>
      </w:pPr>
    </w:p>
    <w:p>
      <w:pPr>
        <w:tabs>
          <w:tab w:val="left" w:pos="5460"/>
        </w:tabs>
        <w:adjustRightInd w:val="0"/>
        <w:snapToGrid w:val="0"/>
        <w:spacing w:line="360" w:lineRule="auto"/>
        <w:ind w:firstLine="600" w:firstLineChars="200"/>
        <w:jc w:val="left"/>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一、项目信息</w:t>
      </w:r>
    </w:p>
    <w:p>
      <w:pPr>
        <w:tabs>
          <w:tab w:val="left" w:pos="5460"/>
        </w:tabs>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项目名称：外币现钞提取、调运和携带出境审核；</w:t>
      </w:r>
    </w:p>
    <w:p>
      <w:pPr>
        <w:tabs>
          <w:tab w:val="left" w:pos="5460"/>
        </w:tabs>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项目编号：57016；</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外币现钞提取、调运和携带出境审核</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的申请和办理。</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（一）《中华人民共和国外汇管理条例》（国务院令第532号）第十五条：</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携带、申报外币现钞出入境的限额，由国务院外汇管理部门规定</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（二）《国务院对确需保留的行政审批项目设定行政许可的决定》（国务院令第412号）附件第495项</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机构单笔提取超过规定金额外币现钞审批</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color w:val="auto"/>
          <w:sz w:val="30"/>
          <w:szCs w:val="30"/>
        </w:rPr>
        <w:t>。</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四、调运外币现钞进出境业务市场准入审批</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tabs>
          <w:tab w:val="left" w:pos="5460"/>
        </w:tabs>
        <w:adjustRightInd w:val="0"/>
        <w:snapToGrid w:val="0"/>
        <w:spacing w:line="360" w:lineRule="auto"/>
        <w:ind w:firstLine="585"/>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1.</w:t>
      </w:r>
      <w:r>
        <w:rPr>
          <w:rFonts w:ascii="Times New Roman" w:hAnsi="Times New Roman" w:eastAsia="仿宋_GB2312" w:cs="Times New Roman"/>
          <w:color w:val="auto"/>
          <w:kern w:val="0"/>
          <w:sz w:val="30"/>
          <w:szCs w:val="30"/>
        </w:rPr>
        <w:t>《中华人民共和国外汇管理条例》</w:t>
      </w:r>
      <w:r>
        <w:rPr>
          <w:rFonts w:ascii="Times New Roman" w:hAnsi="Times New Roman" w:eastAsia="仿宋_GB2312" w:cs="Times New Roman"/>
          <w:color w:val="auto"/>
          <w:sz w:val="30"/>
          <w:szCs w:val="30"/>
        </w:rPr>
        <w:t>（国务院令第532号）</w:t>
      </w:r>
      <w:r>
        <w:rPr>
          <w:rFonts w:ascii="Times New Roman" w:hAnsi="Times New Roman" w:eastAsia="仿宋_GB2312" w:cs="Times New Roman"/>
          <w:color w:val="auto"/>
          <w:kern w:val="0"/>
          <w:sz w:val="30"/>
          <w:szCs w:val="30"/>
        </w:rPr>
        <w:t>；</w:t>
      </w:r>
    </w:p>
    <w:p>
      <w:pPr>
        <w:tabs>
          <w:tab w:val="left" w:pos="5460"/>
        </w:tabs>
        <w:adjustRightInd w:val="0"/>
        <w:snapToGrid w:val="0"/>
        <w:spacing w:line="360" w:lineRule="auto"/>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2.</w:t>
      </w:r>
      <w:r>
        <w:rPr>
          <w:rFonts w:ascii="Times New Roman" w:hAnsi="Times New Roman" w:eastAsia="仿宋_GB2312" w:cs="Times New Roman"/>
          <w:color w:val="auto"/>
          <w:kern w:val="0"/>
          <w:sz w:val="30"/>
          <w:szCs w:val="30"/>
        </w:rPr>
        <w:t>《国家外汇管理局海关总署关于印发</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调运外币现钞进出境管理规定</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的通知》（汇发〔2019〕16号）。</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kern w:val="0"/>
          <w:sz w:val="30"/>
          <w:szCs w:val="30"/>
        </w:rPr>
        <w:t>3.《国家外汇管理局关于修订</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个人本外币兑换特许业务试点管理办法</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的通知》（汇发〔2020〕6号）</w:t>
      </w:r>
      <w:r>
        <w:rPr>
          <w:rFonts w:hint="eastAsia" w:ascii="Times New Roman" w:hAnsi="Times New Roman" w:eastAsia="仿宋_GB2312" w:cs="Times New Roman"/>
          <w:color w:val="auto"/>
          <w:kern w:val="0"/>
          <w:sz w:val="30"/>
          <w:szCs w:val="30"/>
        </w:rPr>
        <w:t>。</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tabs>
          <w:tab w:val="left" w:pos="5460"/>
        </w:tabs>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ascii="Times New Roman" w:hAnsi="Times New Roman" w:eastAsia="仿宋_GB2312" w:cs="Times New Roman"/>
          <w:color w:val="auto"/>
          <w:spacing w:val="-1"/>
          <w:sz w:val="30"/>
          <w:szCs w:val="30"/>
        </w:rPr>
        <w:t>申请人</w:t>
      </w:r>
      <w:r>
        <w:rPr>
          <w:rFonts w:hint="eastAsia" w:ascii="Times New Roman" w:hAnsi="Times New Roman" w:eastAsia="仿宋_GB2312" w:cs="Times New Roman"/>
          <w:color w:val="auto"/>
          <w:spacing w:val="-1"/>
          <w:sz w:val="30"/>
          <w:szCs w:val="30"/>
        </w:rPr>
        <w:t>所在</w:t>
      </w:r>
      <w:r>
        <w:rPr>
          <w:rFonts w:ascii="Times New Roman" w:hAnsi="Times New Roman" w:eastAsia="仿宋_GB2312" w:cs="Times New Roman"/>
          <w:color w:val="auto"/>
          <w:spacing w:val="-1"/>
          <w:sz w:val="30"/>
          <w:szCs w:val="30"/>
        </w:rPr>
        <w:t>地国家外汇管理局分局（外汇管理部）。</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tabs>
          <w:tab w:val="left" w:pos="5460"/>
        </w:tabs>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ascii="Times New Roman" w:hAnsi="Times New Roman" w:eastAsia="仿宋_GB2312" w:cs="Times New Roman"/>
          <w:color w:val="auto"/>
          <w:spacing w:val="-1"/>
          <w:sz w:val="30"/>
          <w:szCs w:val="30"/>
        </w:rPr>
        <w:t>申请人</w:t>
      </w:r>
      <w:r>
        <w:rPr>
          <w:rFonts w:hint="eastAsia" w:ascii="Times New Roman" w:hAnsi="Times New Roman" w:eastAsia="仿宋_GB2312" w:cs="Times New Roman"/>
          <w:color w:val="auto"/>
          <w:spacing w:val="-1"/>
          <w:sz w:val="30"/>
          <w:szCs w:val="30"/>
        </w:rPr>
        <w:t>所在</w:t>
      </w:r>
      <w:r>
        <w:rPr>
          <w:rFonts w:ascii="Times New Roman" w:hAnsi="Times New Roman" w:eastAsia="仿宋_GB2312" w:cs="Times New Roman"/>
          <w:color w:val="auto"/>
          <w:spacing w:val="-1"/>
          <w:sz w:val="30"/>
          <w:szCs w:val="30"/>
        </w:rPr>
        <w:t>地国家外汇管理局分局（外汇管理部）。</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tabs>
          <w:tab w:val="left" w:pos="5460"/>
        </w:tabs>
        <w:adjustRightInd w:val="0"/>
        <w:snapToGrid w:val="0"/>
        <w:spacing w:line="360" w:lineRule="auto"/>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t>申请人为银行总行（或外国银行分行主报告行），需</w:t>
      </w:r>
      <w:r>
        <w:rPr>
          <w:rFonts w:ascii="Times New Roman" w:hAnsi="Times New Roman" w:eastAsia="仿宋_GB2312" w:cs="Times New Roman"/>
          <w:color w:val="auto"/>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tabs>
          <w:tab w:val="left" w:pos="5460"/>
        </w:tabs>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73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006"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1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62"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792" w:type="dxa"/>
            <w:vAlign w:val="center"/>
          </w:tcPr>
          <w:p>
            <w:pPr>
              <w:tabs>
                <w:tab w:val="left" w:pos="5460"/>
              </w:tabs>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银行办理调运外币现钞进出境</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业务备案表</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left"/>
              <w:rPr>
                <w:rFonts w:ascii="Times New Roman" w:hAnsi="Times New Roman" w:eastAsia="仿宋_GB2312" w:cs="Times New Roman"/>
                <w:color w:val="auto"/>
                <w:sz w:val="24"/>
                <w:szCs w:val="24"/>
              </w:rPr>
            </w:pPr>
          </w:p>
        </w:tc>
        <w:tc>
          <w:tcPr>
            <w:tcW w:w="792" w:type="dxa"/>
            <w:vMerge w:val="restart"/>
            <w:vAlign w:val="center"/>
          </w:tcPr>
          <w:p>
            <w:pPr>
              <w:tabs>
                <w:tab w:val="left" w:pos="5460"/>
              </w:tabs>
              <w:jc w:val="center"/>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可行性报告和业务计划书</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color w:val="auto"/>
                <w:sz w:val="24"/>
                <w:szCs w:val="24"/>
              </w:rPr>
            </w:pPr>
          </w:p>
        </w:tc>
        <w:tc>
          <w:tcPr>
            <w:tcW w:w="792" w:type="dxa"/>
            <w:vMerge w:val="continue"/>
            <w:vAlign w:val="center"/>
          </w:tcPr>
          <w:p>
            <w:pPr>
              <w:tabs>
                <w:tab w:val="left" w:pos="5460"/>
              </w:tabs>
              <w:jc w:val="center"/>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73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调运外币现钞进出境</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业务管理制度</w:t>
            </w:r>
          </w:p>
        </w:tc>
        <w:tc>
          <w:tcPr>
            <w:tcW w:w="1006"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719"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6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719" w:type="dxa"/>
            <w:vAlign w:val="center"/>
          </w:tcPr>
          <w:p>
            <w:pPr>
              <w:tabs>
                <w:tab w:val="left" w:pos="5460"/>
              </w:tabs>
              <w:jc w:val="center"/>
              <w:rPr>
                <w:rFonts w:ascii="Times New Roman" w:hAnsi="Times New Roman" w:eastAsia="仿宋_GB2312" w:cs="Times New Roman"/>
                <w:color w:val="auto"/>
                <w:sz w:val="24"/>
                <w:szCs w:val="24"/>
              </w:rPr>
            </w:pPr>
          </w:p>
        </w:tc>
        <w:tc>
          <w:tcPr>
            <w:tcW w:w="792" w:type="dxa"/>
            <w:vMerge w:val="continue"/>
            <w:vAlign w:val="center"/>
          </w:tcPr>
          <w:p>
            <w:pPr>
              <w:tabs>
                <w:tab w:val="left" w:pos="5460"/>
              </w:tabs>
              <w:jc w:val="center"/>
              <w:rPr>
                <w:rFonts w:ascii="Times New Roman" w:hAnsi="Times New Roman" w:eastAsia="仿宋_GB2312" w:cs="Times New Roman"/>
                <w:color w:val="auto"/>
                <w:sz w:val="24"/>
                <w:szCs w:val="24"/>
              </w:rPr>
            </w:pPr>
          </w:p>
        </w:tc>
      </w:tr>
    </w:tbl>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（七）申请接受</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lang w:eastAsia="zh-CN"/>
        </w:rPr>
        <w:t>、国家外汇管理局政务服务网上办理系统（zwfw.safe.gov.cn/asone）</w:t>
      </w:r>
      <w:r>
        <w:rPr>
          <w:rFonts w:hint="eastAsia" w:ascii="Times New Roman" w:hAnsi="Times New Roman" w:eastAsia="仿宋_GB2312" w:cs="Times New Roman"/>
          <w:sz w:val="30"/>
          <w:szCs w:val="30"/>
        </w:rPr>
        <w:t>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numPr>
          <w:numId w:val="0"/>
        </w:numPr>
        <w:tabs>
          <w:tab w:val="left" w:pos="5460"/>
        </w:tabs>
        <w:rPr>
          <w:rFonts w:hint="eastAsia" w:ascii="Times New Roman" w:hAnsi="Times New Roman" w:eastAsia="仿宋_GB2312" w:cs="Times New Roman"/>
          <w:color w:val="auto"/>
          <w:sz w:val="30"/>
          <w:szCs w:val="30"/>
          <w:highlight w:val="none"/>
          <w:lang w:eastAsia="zh-CN"/>
        </w:rPr>
      </w:pPr>
      <w:r>
        <w:rPr>
          <w:rFonts w:hint="eastAsia" w:ascii="Times New Roman" w:hAnsi="Times New Roman" w:eastAsia="仿宋_GB2312" w:cs="Times New Roman"/>
          <w:color w:val="auto"/>
          <w:sz w:val="30"/>
          <w:szCs w:val="30"/>
          <w:highlight w:val="none"/>
          <w:lang w:val="en-US" w:eastAsia="zh-CN"/>
        </w:rPr>
        <w:t xml:space="preserve">    1.</w:t>
      </w:r>
      <w:r>
        <w:rPr>
          <w:rFonts w:hint="eastAsia"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lang w:eastAsia="zh-CN"/>
        </w:rPr>
        <w:t>四川省分局</w:t>
      </w:r>
    </w:p>
    <w:p>
      <w:pPr>
        <w:numPr>
          <w:numId w:val="0"/>
        </w:numPr>
        <w:tabs>
          <w:tab w:val="left" w:pos="5460"/>
        </w:tabs>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lang w:val="en-US" w:eastAsia="zh-CN"/>
        </w:rPr>
        <w:t xml:space="preserve">    </w:t>
      </w:r>
      <w:r>
        <w:rPr>
          <w:rFonts w:hint="eastAsia" w:eastAsia="仿宋_GB2312" w:cs="Times New Roman"/>
          <w:color w:val="auto"/>
          <w:sz w:val="30"/>
          <w:szCs w:val="30"/>
          <w:highlight w:val="none"/>
          <w:lang w:val="en-US" w:eastAsia="zh-CN"/>
        </w:rPr>
        <w:t>（1）</w:t>
      </w:r>
      <w:r>
        <w:rPr>
          <w:rFonts w:hint="eastAsia" w:ascii="Times New Roman" w:hAnsi="Times New Roman" w:eastAsia="仿宋_GB2312" w:cs="Times New Roman"/>
          <w:color w:val="auto"/>
          <w:sz w:val="30"/>
          <w:szCs w:val="30"/>
          <w:highlight w:val="none"/>
        </w:rPr>
        <w:t>窗口接收：</w:t>
      </w:r>
      <w:r>
        <w:rPr>
          <w:rFonts w:hint="eastAsia" w:ascii="Times New Roman" w:hAnsi="Times New Roman" w:eastAsia="仿宋_GB2312" w:cs="Times New Roman"/>
          <w:color w:val="auto"/>
          <w:sz w:val="30"/>
          <w:szCs w:val="30"/>
          <w:highlight w:val="none"/>
          <w:lang w:eastAsia="zh-CN"/>
        </w:rPr>
        <w:t>成都市武侯区二环路南二段15号</w:t>
      </w:r>
      <w:r>
        <w:rPr>
          <w:rFonts w:hint="eastAsia" w:ascii="Times New Roman" w:hAnsi="Times New Roman" w:eastAsia="仿宋_GB2312" w:cs="Times New Roman"/>
          <w:color w:val="auto"/>
          <w:sz w:val="30"/>
          <w:szCs w:val="30"/>
          <w:highlight w:val="none"/>
          <w:lang w:val="en-US" w:eastAsia="zh-CN"/>
        </w:rPr>
        <w:t>1212办公室</w:t>
      </w:r>
      <w:r>
        <w:rPr>
          <w:rFonts w:hint="eastAsia" w:ascii="Times New Roman" w:hAnsi="Times New Roman" w:eastAsia="仿宋_GB2312" w:cs="Times New Roman"/>
          <w:color w:val="auto"/>
          <w:sz w:val="30"/>
          <w:szCs w:val="30"/>
          <w:highlight w:val="none"/>
        </w:rPr>
        <w:t>，联系电话（0</w:t>
      </w:r>
      <w:r>
        <w:rPr>
          <w:rFonts w:hint="eastAsia" w:ascii="Times New Roman" w:hAnsi="Times New Roman" w:eastAsia="仿宋_GB2312" w:cs="Times New Roman"/>
          <w:color w:val="auto"/>
          <w:sz w:val="30"/>
          <w:szCs w:val="30"/>
          <w:highlight w:val="none"/>
          <w:lang w:val="en-US" w:eastAsia="zh-CN"/>
        </w:rPr>
        <w:t>28</w:t>
      </w:r>
      <w:r>
        <w:rPr>
          <w:rFonts w:hint="eastAsia" w:ascii="Times New Roman" w:hAnsi="Times New Roman" w:eastAsia="仿宋_GB2312" w:cs="Times New Roman"/>
          <w:color w:val="auto"/>
          <w:sz w:val="30"/>
          <w:szCs w:val="30"/>
          <w:highlight w:val="none"/>
        </w:rPr>
        <w:t>）</w:t>
      </w:r>
      <w:r>
        <w:rPr>
          <w:rFonts w:hint="eastAsia" w:ascii="Times New Roman" w:hAnsi="Times New Roman" w:eastAsia="仿宋_GB2312" w:cs="Times New Roman"/>
          <w:color w:val="auto"/>
          <w:sz w:val="30"/>
          <w:szCs w:val="30"/>
          <w:highlight w:val="none"/>
          <w:lang w:val="en-US" w:eastAsia="zh-CN"/>
        </w:rPr>
        <w:t>85261002</w:t>
      </w:r>
      <w:r>
        <w:rPr>
          <w:rFonts w:hint="eastAsia" w:ascii="Times New Roman" w:hAnsi="Times New Roman" w:eastAsia="仿宋_GB2312" w:cs="Times New Roman"/>
          <w:color w:val="auto"/>
          <w:sz w:val="30"/>
          <w:szCs w:val="30"/>
          <w:highlight w:val="none"/>
        </w:rPr>
        <w:t>。</w:t>
      </w:r>
    </w:p>
    <w:p>
      <w:pPr>
        <w:numPr>
          <w:numId w:val="0"/>
        </w:numPr>
        <w:tabs>
          <w:tab w:val="left" w:pos="5460"/>
        </w:tabs>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lang w:val="en-US" w:eastAsia="zh-CN"/>
        </w:rPr>
        <w:t xml:space="preserve">    </w:t>
      </w:r>
      <w:r>
        <w:rPr>
          <w:rFonts w:hint="eastAsia" w:eastAsia="仿宋_GB2312" w:cs="Times New Roman"/>
          <w:color w:val="auto"/>
          <w:sz w:val="30"/>
          <w:szCs w:val="30"/>
          <w:highlight w:val="none"/>
          <w:lang w:val="en-US" w:eastAsia="zh-CN"/>
        </w:rPr>
        <w:t>（2）</w:t>
      </w:r>
      <w:r>
        <w:rPr>
          <w:rFonts w:hint="eastAsia" w:ascii="Times New Roman" w:hAnsi="Times New Roman" w:eastAsia="仿宋_GB2312" w:cs="Times New Roman"/>
          <w:color w:val="auto"/>
          <w:sz w:val="30"/>
          <w:szCs w:val="30"/>
          <w:highlight w:val="none"/>
        </w:rPr>
        <w:t>邮寄接收：国家外汇管理局四川省分局</w:t>
      </w:r>
      <w:r>
        <w:rPr>
          <w:rFonts w:hint="eastAsia" w:ascii="Times New Roman" w:hAnsi="Times New Roman" w:eastAsia="仿宋_GB2312" w:cs="Times New Roman"/>
          <w:color w:val="auto"/>
          <w:sz w:val="30"/>
          <w:szCs w:val="30"/>
          <w:highlight w:val="none"/>
          <w:lang w:eastAsia="zh-CN"/>
        </w:rPr>
        <w:t>国际收支处，</w:t>
      </w:r>
      <w:r>
        <w:rPr>
          <w:rFonts w:hint="eastAsia" w:ascii="Times New Roman" w:hAnsi="Times New Roman" w:eastAsia="仿宋_GB2312" w:cs="Times New Roman"/>
          <w:color w:val="auto"/>
          <w:sz w:val="30"/>
          <w:szCs w:val="30"/>
          <w:highlight w:val="none"/>
        </w:rPr>
        <w:t>成都市武侯区二环路南二段15号，邮政编码</w:t>
      </w:r>
      <w:r>
        <w:rPr>
          <w:rFonts w:hint="eastAsia" w:ascii="Times New Roman" w:hAnsi="Times New Roman" w:eastAsia="仿宋_GB2312" w:cs="Times New Roman"/>
          <w:color w:val="auto"/>
          <w:sz w:val="30"/>
          <w:szCs w:val="30"/>
          <w:highlight w:val="none"/>
          <w:lang w:val="en-US" w:eastAsia="zh-CN"/>
        </w:rPr>
        <w:t>610041</w:t>
      </w:r>
      <w:r>
        <w:rPr>
          <w:rFonts w:hint="eastAsia" w:ascii="Times New Roman" w:hAnsi="Times New Roman" w:eastAsia="仿宋_GB2312" w:cs="Times New Roman"/>
          <w:color w:val="auto"/>
          <w:sz w:val="30"/>
          <w:szCs w:val="30"/>
          <w:highlight w:val="none"/>
        </w:rPr>
        <w:t>。</w:t>
      </w:r>
    </w:p>
    <w:p>
      <w:pPr>
        <w:numPr>
          <w:numId w:val="0"/>
        </w:numPr>
        <w:tabs>
          <w:tab w:val="left" w:pos="5460"/>
        </w:tabs>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仿宋_GB2312" w:cs="Times New Roman"/>
          <w:color w:val="auto"/>
          <w:sz w:val="30"/>
          <w:szCs w:val="30"/>
          <w:highlight w:val="none"/>
          <w:lang w:val="en-US" w:eastAsia="zh-CN"/>
        </w:rPr>
        <w:t xml:space="preserve">    2.四川省各市（州）</w:t>
      </w:r>
      <w:r>
        <w:rPr>
          <w:rFonts w:hint="eastAsia" w:eastAsia="仿宋_GB2312" w:cs="Times New Roman"/>
          <w:color w:val="auto"/>
          <w:sz w:val="30"/>
          <w:szCs w:val="30"/>
          <w:highlight w:val="none"/>
          <w:lang w:val="en-US" w:eastAsia="zh-CN"/>
        </w:rPr>
        <w:t>分</w:t>
      </w:r>
      <w:r>
        <w:rPr>
          <w:rFonts w:hint="eastAsia" w:ascii="Times New Roman" w:hAnsi="Times New Roman" w:eastAsia="仿宋_GB2312" w:cs="Times New Roman"/>
          <w:color w:val="auto"/>
          <w:sz w:val="30"/>
          <w:szCs w:val="30"/>
          <w:highlight w:val="none"/>
          <w:lang w:val="en-US" w:eastAsia="zh-CN"/>
        </w:rPr>
        <w:t>局、支局</w:t>
      </w:r>
      <w:r>
        <w:rPr>
          <w:rFonts w:hint="eastAsia" w:ascii="Times New Roman" w:hAnsi="Times New Roman" w:eastAsia="仿宋_GB2312" w:cs="Times New Roman"/>
          <w:color w:val="auto"/>
          <w:sz w:val="30"/>
          <w:szCs w:val="30"/>
          <w:highlight w:val="none"/>
        </w:rPr>
        <w:t>接收</w:t>
      </w:r>
      <w:r>
        <w:rPr>
          <w:rFonts w:hint="eastAsia" w:ascii="Times New Roman" w:hAnsi="Times New Roman" w:eastAsia="仿宋_GB2312" w:cs="Times New Roman"/>
          <w:color w:val="auto"/>
          <w:sz w:val="30"/>
          <w:szCs w:val="30"/>
          <w:highlight w:val="none"/>
          <w:lang w:eastAsia="zh-CN"/>
        </w:rPr>
        <w:t>方式</w:t>
      </w:r>
      <w:r>
        <w:rPr>
          <w:rFonts w:hint="eastAsia" w:ascii="Times New Roman" w:hAnsi="Times New Roman" w:eastAsia="仿宋_GB2312" w:cs="Times New Roman"/>
          <w:color w:val="auto"/>
          <w:sz w:val="30"/>
          <w:szCs w:val="30"/>
          <w:highlight w:val="none"/>
          <w:lang w:val="en-US" w:eastAsia="zh-CN"/>
        </w:rPr>
        <w:t>见</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color w:val="auto"/>
          <w:sz w:val="30"/>
          <w:szCs w:val="30"/>
          <w:highlight w:val="none"/>
          <w:lang w:val="en-US" w:eastAsia="zh-CN"/>
        </w:rPr>
        <w:t>分局互联网站特色服务栏目。</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1.新办流程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（1）申请人持《银行办理调运外币现钞进出境业务备案表》（一式两份）及有关材料，向所在地国家外汇管理局分局（外汇管理部）进行备案。</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（2）分局（外汇管理部）收到申请人内容齐全的备案材料后，在其提交的《银行办理调运外币现钞进出境业务备案表》上加盖签章予以确认，并将其中一份备案表退还申请人留存。</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2.停办流程</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tabs>
          <w:tab w:val="left" w:pos="5460"/>
        </w:tabs>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3.材料不全或不符合法定形式的，一次性告知补正材料，并出具《行政许可补正通知书》。</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一般程序：申请、受理、初审、作出审批决定、出具审批文件。</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w:t>
      </w:r>
      <w:r>
        <w:rPr>
          <w:rFonts w:ascii="Times New Roman" w:hAnsi="Times New Roman" w:eastAsia="仿宋_GB2312" w:cs="Times New Roman"/>
          <w:color w:val="auto"/>
          <w:sz w:val="30"/>
          <w:szCs w:val="30"/>
        </w:rPr>
        <w:t>个工作日。</w:t>
      </w:r>
    </w:p>
    <w:p>
      <w:pPr>
        <w:tabs>
          <w:tab w:val="left" w:pos="5460"/>
        </w:tabs>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tabs>
          <w:tab w:val="left" w:pos="5460"/>
        </w:tabs>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加盖国家外汇管理局分局（外汇管理部）签章的《银行调运外币现钞进出境业务备案表》</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w:t>
      </w:r>
    </w:p>
    <w:p>
      <w:pPr>
        <w:tabs>
          <w:tab w:val="left" w:pos="5460"/>
        </w:tabs>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（十五）事项审查类型</w:t>
      </w:r>
    </w:p>
    <w:p>
      <w:pPr>
        <w:tabs>
          <w:tab w:val="left" w:pos="5460"/>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前审后批。</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）禁止性要求</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详见（五）办事条件。</w:t>
      </w:r>
    </w:p>
    <w:p>
      <w:pPr>
        <w:tabs>
          <w:tab w:val="left" w:pos="5460"/>
        </w:tabs>
        <w:ind w:firstLine="6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（十</w:t>
      </w:r>
      <w:r>
        <w:rPr>
          <w:rFonts w:hint="eastAsia" w:ascii="Times New Roman" w:hAnsi="Times New Roman" w:eastAsia="黑体" w:cs="Times New Roman"/>
          <w:color w:val="auto"/>
          <w:sz w:val="30"/>
          <w:szCs w:val="30"/>
          <w:highlight w:val="none"/>
          <w:lang w:eastAsia="zh-CN"/>
        </w:rPr>
        <w:t>七</w:t>
      </w:r>
      <w:r>
        <w:rPr>
          <w:rFonts w:ascii="Times New Roman" w:hAnsi="Times New Roman" w:eastAsia="黑体" w:cs="Times New Roman"/>
          <w:color w:val="auto"/>
          <w:sz w:val="30"/>
          <w:szCs w:val="30"/>
          <w:highlight w:val="none"/>
        </w:rPr>
        <w:t>）咨询途径、监督和投诉、公开查询等由所在地分支局办理</w:t>
      </w:r>
    </w:p>
    <w:p>
      <w:pPr>
        <w:tabs>
          <w:tab w:val="left" w:pos="5460"/>
        </w:tabs>
        <w:ind w:firstLine="600"/>
        <w:rPr>
          <w:rFonts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向国家外汇管理局四川省分局进行咨询、进程查询、监督和投诉等可通过</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color w:val="auto"/>
          <w:sz w:val="30"/>
          <w:szCs w:val="30"/>
          <w:highlight w:val="none"/>
        </w:rPr>
        <w:t>分局互联网站的相应栏目进行。网址为http://www.safe.gov.cn/sichuan/</w:t>
      </w:r>
      <w:r>
        <w:rPr>
          <w:rFonts w:hint="eastAsia" w:ascii="Times New Roman" w:hAnsi="Times New Roman" w:eastAsia="仿宋_GB2312" w:cs="Times New Roman"/>
          <w:color w:val="auto"/>
          <w:sz w:val="30"/>
          <w:szCs w:val="30"/>
          <w:highlight w:val="none"/>
          <w:lang w:eastAsia="zh-CN"/>
        </w:rPr>
        <w:t>，</w:t>
      </w:r>
      <w:r>
        <w:rPr>
          <w:rFonts w:hint="eastAsia" w:ascii="Times New Roman" w:hAnsi="Times New Roman" w:eastAsia="仿宋_GB2312" w:cs="Times New Roman"/>
          <w:color w:val="auto"/>
          <w:sz w:val="30"/>
          <w:szCs w:val="30"/>
          <w:highlight w:val="none"/>
        </w:rPr>
        <w:t>也可通过</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color w:val="auto"/>
          <w:sz w:val="30"/>
          <w:szCs w:val="30"/>
          <w:highlight w:val="none"/>
        </w:rPr>
        <w:t>分局互联网站上公布的电话028-85261002进行咨询。</w:t>
      </w:r>
    </w:p>
    <w:p>
      <w:pPr>
        <w:tabs>
          <w:tab w:val="left" w:pos="5460"/>
        </w:tabs>
        <w:ind w:firstLine="600"/>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lang w:eastAsia="zh-CN"/>
        </w:rPr>
        <w:t>（十八）</w:t>
      </w:r>
      <w:r>
        <w:rPr>
          <w:rFonts w:ascii="Times New Roman" w:hAnsi="Times New Roman" w:eastAsia="黑体" w:cs="Times New Roman"/>
          <w:color w:val="auto"/>
          <w:sz w:val="30"/>
          <w:szCs w:val="30"/>
          <w:highlight w:val="none"/>
        </w:rPr>
        <w:t>办公地址和时间</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办公地址：四川省成都市武侯区二环路南二段15号</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办公时间：法定工作日 上午8:30-11:30，下午14:00-17:30</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联系电话：028-85261002</w:t>
      </w:r>
    </w:p>
    <w:p>
      <w:pPr>
        <w:tabs>
          <w:tab w:val="left" w:pos="5460"/>
        </w:tabs>
        <w:ind w:firstLine="600" w:firstLineChars="200"/>
        <w:rPr>
          <w:rFonts w:hint="eastAsia" w:ascii="Times New Roman" w:hAnsi="Times New Roman" w:eastAsia="仿宋_GB2312" w:cs="Times New Roman"/>
          <w:color w:val="auto"/>
          <w:sz w:val="30"/>
          <w:szCs w:val="30"/>
          <w:highlight w:val="none"/>
        </w:rPr>
      </w:pPr>
      <w:r>
        <w:rPr>
          <w:rFonts w:hint="eastAsia" w:ascii="Times New Roman" w:hAnsi="Times New Roman" w:eastAsia="仿宋_GB2312" w:cs="Times New Roman"/>
          <w:color w:val="auto"/>
          <w:sz w:val="30"/>
          <w:szCs w:val="30"/>
          <w:highlight w:val="none"/>
        </w:rPr>
        <w:t>四川省各市（州）</w:t>
      </w:r>
      <w:r>
        <w:rPr>
          <w:rFonts w:hint="eastAsia" w:eastAsia="仿宋_GB2312" w:cs="Times New Roman"/>
          <w:color w:val="auto"/>
          <w:sz w:val="30"/>
          <w:szCs w:val="30"/>
          <w:highlight w:val="none"/>
          <w:lang w:eastAsia="zh-CN"/>
        </w:rPr>
        <w:t>分</w:t>
      </w:r>
      <w:r>
        <w:rPr>
          <w:rFonts w:hint="eastAsia" w:ascii="Times New Roman" w:hAnsi="Times New Roman" w:eastAsia="仿宋_GB2312" w:cs="Times New Roman"/>
          <w:color w:val="auto"/>
          <w:sz w:val="30"/>
          <w:szCs w:val="30"/>
          <w:highlight w:val="none"/>
        </w:rPr>
        <w:t>局、支局办公地址和办公时间见</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color w:val="auto"/>
          <w:sz w:val="30"/>
          <w:szCs w:val="30"/>
          <w:highlight w:val="none"/>
        </w:rPr>
        <w:t>分局互联网站特色服务栏目。</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w:t>
      </w:r>
      <w:r>
        <w:rPr>
          <w:rFonts w:hint="eastAsia" w:ascii="Times New Roman" w:hAnsi="Times New Roman" w:eastAsia="黑体" w:cs="Times New Roman"/>
          <w:color w:val="auto"/>
          <w:sz w:val="30"/>
          <w:szCs w:val="30"/>
          <w:lang w:eastAsia="zh-CN"/>
        </w:rPr>
        <w:t>十九</w:t>
      </w:r>
      <w:r>
        <w:rPr>
          <w:rFonts w:ascii="Times New Roman" w:hAnsi="Times New Roman" w:eastAsia="黑体" w:cs="Times New Roman"/>
          <w:color w:val="auto"/>
          <w:sz w:val="30"/>
          <w:szCs w:val="30"/>
        </w:rPr>
        <w:t>）申请材料示范文本</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见附表1、附表2。</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（二十）常见问题解答</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审批时限在</w:t>
      </w:r>
      <w:r>
        <w:rPr>
          <w:rFonts w:hint="eastAsia" w:ascii="Times New Roman" w:hAnsi="Times New Roman" w:eastAsia="仿宋_GB2312" w:cs="Times New Roman"/>
          <w:color w:val="auto"/>
          <w:sz w:val="30"/>
          <w:szCs w:val="30"/>
        </w:rPr>
        <w:t>20</w:t>
      </w:r>
      <w:r>
        <w:rPr>
          <w:rFonts w:ascii="Times New Roman" w:hAnsi="Times New Roman" w:eastAsia="仿宋_GB2312" w:cs="Times New Roman"/>
          <w:color w:val="auto"/>
          <w:sz w:val="30"/>
          <w:szCs w:val="30"/>
        </w:rPr>
        <w:t>个工作日以内。</w:t>
      </w:r>
    </w:p>
    <w:p>
      <w:pPr>
        <w:tabs>
          <w:tab w:val="left" w:pos="5460"/>
        </w:tabs>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w:t>
      </w:r>
      <w:r>
        <w:rPr>
          <w:rFonts w:hint="eastAsia" w:ascii="Times New Roman" w:hAnsi="Times New Roman" w:eastAsia="黑体" w:cs="Times New Roman"/>
          <w:color w:val="auto"/>
          <w:sz w:val="30"/>
          <w:szCs w:val="30"/>
          <w:lang w:eastAsia="zh-CN"/>
        </w:rPr>
        <w:t>一</w:t>
      </w:r>
      <w:r>
        <w:rPr>
          <w:rFonts w:ascii="Times New Roman" w:hAnsi="Times New Roman" w:eastAsia="黑体" w:cs="Times New Roman"/>
          <w:color w:val="auto"/>
          <w:sz w:val="30"/>
          <w:szCs w:val="30"/>
        </w:rPr>
        <w:t>）常见错误示例</w:t>
      </w:r>
    </w:p>
    <w:p>
      <w:pPr>
        <w:tabs>
          <w:tab w:val="left" w:pos="5460"/>
        </w:tabs>
        <w:adjustRightInd w:val="0"/>
        <w:snapToGrid w:val="0"/>
        <w:spacing w:line="360" w:lineRule="auto"/>
        <w:ind w:firstLine="600"/>
        <w:rPr>
          <w:rFonts w:ascii="Times New Roman" w:hAnsi="Times New Roman" w:eastAsia="仿宋_GB2312" w:cs="Times New Roman"/>
          <w:color w:val="auto"/>
          <w:sz w:val="30"/>
          <w:szCs w:val="30"/>
        </w:rPr>
        <w:sectPr>
          <w:pgSz w:w="11906" w:h="16838"/>
          <w:pgMar w:top="1440" w:right="1800" w:bottom="1440" w:left="1800" w:header="851" w:footer="992" w:gutter="0"/>
          <w:pgNumType w:fmt="decimal"/>
          <w:cols w:space="720" w:num="1"/>
          <w:docGrid w:type="lines" w:linePitch="312" w:charSpace="0"/>
        </w:sectPr>
      </w:pPr>
      <w:r>
        <w:rPr>
          <w:rFonts w:ascii="Times New Roman" w:hAnsi="Times New Roman" w:eastAsia="仿宋_GB2312" w:cs="Times New Roman"/>
          <w:color w:val="auto"/>
          <w:sz w:val="30"/>
          <w:szCs w:val="30"/>
        </w:rPr>
        <w:t>申请材料要件不全。</w:t>
      </w:r>
    </w:p>
    <w:p>
      <w:pPr>
        <w:tabs>
          <w:tab w:val="left" w:pos="5460"/>
        </w:tabs>
        <w:ind w:right="3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w:t>
      </w:r>
    </w:p>
    <w:p>
      <w:pPr>
        <w:tabs>
          <w:tab w:val="left" w:pos="5460"/>
        </w:tabs>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tabs>
          <w:tab w:val="left" w:pos="5460"/>
        </w:tabs>
        <w:ind w:right="300"/>
        <w:rPr>
          <w:rFonts w:ascii="Times New Roman" w:hAnsi="Times New Roman" w:cs="Times New Roman"/>
          <w:color w:val="auto"/>
        </w:rPr>
      </w:pPr>
      <w:r>
        <w:rPr>
          <w:rFonts w:ascii="Times New Roman" w:hAnsi="Times New Roman" w:eastAsia="宋体" w:cs="Times New Roman"/>
          <w:color w:val="auto"/>
          <w:kern w:val="2"/>
          <w:sz w:val="21"/>
          <w:szCs w:val="22"/>
          <w:lang w:val="en-US" w:eastAsia="zh-CN" w:bidi="ar-SA"/>
        </w:rPr>
        <w:pict>
          <v:group id="Group 67" o:spid="_x0000_s1029" style="position:absolute;left:0;margin-left:-41.35pt;margin-top:16.05pt;height:439.05pt;width:474.15pt;rotation:0f;z-index:251658240;" coordorigin="0,0" coordsize="9483,8781">
            <o:lock v:ext="edit" position="f" selection="f" grouping="f" rotation="f" cropping="f" text="f" aspectratio="f"/>
            <v:roundrect id="圆角矩形 20" o:spid="_x0000_s1030" style="position:absolute;left:580;top:0;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31" style="position:absolute;left:6554;top:1583;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2" style="position:absolute;left:4012;top:2532;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3" style="position:absolute;left:3981;top:3288;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4" style="position:absolute;left:2716;top:4962;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5" style="position:absolute;left:2716;top:6002;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6" style="position:absolute;left:5456;top:7609;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7" style="position:absolute;left:1130;top:7609;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8" type="#_x0000_t32" style="position:absolute;left:1632;top:1922;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9" type="#_x0000_t34" style="position:absolute;left:2807;top:2646;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40" type="#_x0000_t34" style="position:absolute;left:2807;top:3726;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41" type="#_x0000_t32" style="position:absolute;left:1911;top:1972;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2" type="#_x0000_t32" style="position:absolute;left:4772;top:5565;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3" type="#_x0000_t32" style="position:absolute;left:6053;top:6704;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4" type="#_x0000_t32" style="position:absolute;left:3571;top:6704;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5" type="#_x0000_t32" style="position:absolute;left:1894;top:3817;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6" type="#_x0000_t32" style="position:absolute;left:1894;top:5208;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7" type="#_x0000_t110" style="position:absolute;left:0;top:2183;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8" type="#_x0000_t32" style="position:absolute;left:8192;top:2257;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tabs>
          <w:tab w:val="left" w:pos="5460"/>
        </w:tabs>
        <w:jc w:val="left"/>
        <w:rPr>
          <w:rFonts w:ascii="Times New Roman" w:hAnsi="Times New Roman" w:eastAsia="仿宋_GB2312" w:cs="Times New Roman"/>
          <w:color w:val="auto"/>
          <w:sz w:val="34"/>
          <w:szCs w:val="34"/>
        </w:rPr>
      </w:pPr>
    </w:p>
    <w:p>
      <w:pPr>
        <w:widowControl/>
        <w:tabs>
          <w:tab w:val="left" w:pos="5460"/>
        </w:tabs>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4"/>
          <w:szCs w:val="34"/>
        </w:rPr>
        <w:br w:type="page"/>
      </w:r>
      <w:r>
        <w:rPr>
          <w:rFonts w:ascii="Times New Roman" w:hAnsi="Times New Roman" w:eastAsia="仿宋_GB2312" w:cs="Times New Roman"/>
          <w:color w:val="auto"/>
          <w:sz w:val="30"/>
          <w:szCs w:val="30"/>
        </w:rPr>
        <w:t>附表1</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银行办理调运外币现钞进出境业务备案表</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（示范文本）</w:t>
      </w:r>
    </w:p>
    <w:tbl>
      <w:tblPr>
        <w:tblStyle w:val="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tabs>
                <w:tab w:val="left" w:pos="5460"/>
              </w:tabs>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备案银行</w:t>
            </w:r>
          </w:p>
        </w:tc>
        <w:tc>
          <w:tcPr>
            <w:tcW w:w="6961" w:type="dxa"/>
            <w:gridSpan w:val="5"/>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信用代码</w:t>
            </w:r>
          </w:p>
        </w:tc>
        <w:tc>
          <w:tcPr>
            <w:tcW w:w="6961" w:type="dxa"/>
            <w:gridSpan w:val="5"/>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备案材料</w:t>
            </w:r>
          </w:p>
        </w:tc>
        <w:tc>
          <w:tcPr>
            <w:tcW w:w="6961" w:type="dxa"/>
            <w:gridSpan w:val="5"/>
            <w:vAlign w:val="top"/>
          </w:tcPr>
          <w:p>
            <w:pPr>
              <w:tabs>
                <w:tab w:val="left" w:pos="5460"/>
              </w:tabs>
              <w:spacing w:beforeLines="3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√可行性报告和业务计划书</w:t>
            </w:r>
          </w:p>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联系人员</w:t>
            </w: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职责</w:t>
            </w:r>
          </w:p>
        </w:tc>
        <w:tc>
          <w:tcPr>
            <w:tcW w:w="1231"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姓名</w:t>
            </w:r>
          </w:p>
        </w:tc>
        <w:tc>
          <w:tcPr>
            <w:tcW w:w="139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部门</w:t>
            </w:r>
          </w:p>
        </w:tc>
        <w:tc>
          <w:tcPr>
            <w:tcW w:w="1393"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职务</w:t>
            </w:r>
          </w:p>
        </w:tc>
        <w:tc>
          <w:tcPr>
            <w:tcW w:w="1393"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主管行长</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部门负责人</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tabs>
                <w:tab w:val="left" w:pos="5460"/>
              </w:tabs>
              <w:jc w:val="center"/>
              <w:rPr>
                <w:rFonts w:ascii="Times New Roman" w:hAnsi="Times New Roman" w:eastAsia="仿宋_GB2312" w:cs="Times New Roman"/>
                <w:color w:val="auto"/>
                <w:sz w:val="24"/>
                <w:szCs w:val="24"/>
              </w:rPr>
            </w:pPr>
          </w:p>
        </w:tc>
        <w:tc>
          <w:tcPr>
            <w:tcW w:w="1552"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业务联系人</w:t>
            </w:r>
          </w:p>
        </w:tc>
        <w:tc>
          <w:tcPr>
            <w:tcW w:w="1231" w:type="dxa"/>
            <w:vAlign w:val="top"/>
          </w:tcPr>
          <w:p>
            <w:pPr>
              <w:tabs>
                <w:tab w:val="left" w:pos="5460"/>
              </w:tabs>
              <w:rPr>
                <w:rFonts w:ascii="Times New Roman" w:hAnsi="Times New Roman" w:eastAsia="仿宋_GB2312" w:cs="Times New Roman"/>
                <w:color w:val="auto"/>
                <w:sz w:val="24"/>
                <w:szCs w:val="24"/>
              </w:rPr>
            </w:pPr>
          </w:p>
        </w:tc>
        <w:tc>
          <w:tcPr>
            <w:tcW w:w="1392"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c>
          <w:tcPr>
            <w:tcW w:w="1393" w:type="dxa"/>
            <w:vAlign w:val="top"/>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备案声明：</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以上情况全部属实，如有不真实，愿承担由此引起的法律责任。</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备案银行签章      </w:t>
            </w:r>
          </w:p>
          <w:p>
            <w:pPr>
              <w:tabs>
                <w:tab w:val="left" w:pos="5460"/>
              </w:tabs>
              <w:ind w:firstLine="465"/>
              <w:jc w:val="right"/>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备案意见：</w:t>
            </w:r>
          </w:p>
          <w:p>
            <w:pPr>
              <w:tabs>
                <w:tab w:val="left" w:pos="5460"/>
              </w:tabs>
              <w:rPr>
                <w:rFonts w:ascii="Times New Roman" w:hAnsi="Times New Roman" w:eastAsia="仿宋_GB2312" w:cs="Times New Roman"/>
                <w:color w:val="auto"/>
                <w:sz w:val="24"/>
                <w:szCs w:val="24"/>
              </w:rPr>
            </w:pPr>
          </w:p>
          <w:p>
            <w:pPr>
              <w:tabs>
                <w:tab w:val="left" w:pos="5460"/>
              </w:tabs>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予以备案。自备案之日起30个工作日后你行可办理调运外币现钞进出境业务。</w:t>
            </w:r>
          </w:p>
          <w:p>
            <w:pPr>
              <w:tabs>
                <w:tab w:val="left" w:pos="5460"/>
              </w:tabs>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你行办理调运外币现钞进出境业务，应遵照《调运外币现钞进出境管理规定》（汇发〔2019〕16号）等有关规定执行。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w:t>
            </w: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国家外汇管理局      </w:t>
            </w: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XX分局（外汇管理部）签章 </w:t>
            </w:r>
          </w:p>
          <w:p>
            <w:pPr>
              <w:tabs>
                <w:tab w:val="left" w:pos="5460"/>
              </w:tabs>
              <w:ind w:right="480"/>
              <w:rPr>
                <w:rFonts w:ascii="Times New Roman" w:hAnsi="Times New Roman" w:eastAsia="仿宋_GB2312" w:cs="Times New Roman"/>
                <w:color w:val="auto"/>
                <w:sz w:val="24"/>
                <w:szCs w:val="24"/>
              </w:rPr>
            </w:pPr>
          </w:p>
          <w:p>
            <w:pPr>
              <w:tabs>
                <w:tab w:val="left" w:pos="5460"/>
              </w:tabs>
              <w:wordWrap w:val="0"/>
              <w:ind w:firstLine="480" w:firstLineChars="200"/>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附注：</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1.本表仅适用于境内商业银行总行（或外国银行分行）。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2.本表一式两份，分别由备案银行及其所在地外汇分局留存。</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3.备案银行名称及社会统一信用代码应与工商营业执照信息一致。</w:t>
            </w:r>
          </w:p>
        </w:tc>
      </w:tr>
    </w:tbl>
    <w:p>
      <w:pPr>
        <w:tabs>
          <w:tab w:val="left" w:pos="5460"/>
        </w:tabs>
        <w:rPr>
          <w:rFonts w:ascii="Times New Roman" w:hAnsi="Times New Roman" w:cs="Times New Roman"/>
          <w:color w:val="auto"/>
        </w:rPr>
      </w:pPr>
    </w:p>
    <w:p>
      <w:pPr>
        <w:tabs>
          <w:tab w:val="left" w:pos="5460"/>
        </w:tabs>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附表2</w:t>
      </w:r>
    </w:p>
    <w:p>
      <w:pPr>
        <w:tabs>
          <w:tab w:val="left" w:pos="5460"/>
        </w:tabs>
        <w:spacing w:line="360" w:lineRule="auto"/>
        <w:rPr>
          <w:rFonts w:ascii="Times New Roman" w:hAnsi="Times New Roman" w:eastAsia="仿宋_GB2312" w:cs="Times New Roman"/>
          <w:color w:val="auto"/>
          <w:sz w:val="34"/>
          <w:szCs w:val="34"/>
        </w:rPr>
      </w:pP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银行停办调运外币现钞进出境业务备案表</w:t>
      </w:r>
    </w:p>
    <w:p>
      <w:pPr>
        <w:tabs>
          <w:tab w:val="left" w:pos="5460"/>
        </w:tabs>
        <w:spacing w:afterLines="100"/>
        <w:jc w:val="center"/>
        <w:rPr>
          <w:rFonts w:ascii="Times New Roman" w:hAnsi="Times New Roman" w:eastAsia="仿宋_GB2312" w:cs="Times New Roman"/>
          <w:b/>
          <w:color w:val="auto"/>
          <w:spacing w:val="-20"/>
          <w:sz w:val="40"/>
          <w:szCs w:val="44"/>
        </w:rPr>
      </w:pPr>
      <w:r>
        <w:rPr>
          <w:rFonts w:ascii="Times New Roman" w:hAnsi="Times New Roman" w:eastAsia="仿宋_GB2312" w:cs="Times New Roman"/>
          <w:b/>
          <w:color w:val="auto"/>
          <w:spacing w:val="-20"/>
          <w:sz w:val="40"/>
          <w:szCs w:val="44"/>
        </w:rPr>
        <w:t>（示范文本）</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tabs>
                <w:tab w:val="left" w:pos="5460"/>
              </w:tabs>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备案银行</w:t>
            </w:r>
          </w:p>
        </w:tc>
        <w:tc>
          <w:tcPr>
            <w:tcW w:w="7102" w:type="dxa"/>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信用代码</w:t>
            </w:r>
          </w:p>
        </w:tc>
        <w:tc>
          <w:tcPr>
            <w:tcW w:w="7102" w:type="dxa"/>
            <w:vAlign w:val="top"/>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停办时间</w:t>
            </w:r>
          </w:p>
        </w:tc>
        <w:tc>
          <w:tcPr>
            <w:tcW w:w="7102" w:type="dxa"/>
            <w:vAlign w:val="top"/>
          </w:tcPr>
          <w:p>
            <w:pPr>
              <w:tabs>
                <w:tab w:val="left" w:pos="5460"/>
              </w:tabs>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停办原因</w:t>
            </w:r>
          </w:p>
          <w:p>
            <w:pPr>
              <w:tabs>
                <w:tab w:val="left" w:pos="5460"/>
              </w:tabs>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说明</w:t>
            </w:r>
          </w:p>
        </w:tc>
        <w:tc>
          <w:tcPr>
            <w:tcW w:w="7102" w:type="dxa"/>
            <w:vAlign w:val="center"/>
          </w:tcPr>
          <w:p>
            <w:pPr>
              <w:tabs>
                <w:tab w:val="left" w:pos="5460"/>
              </w:tabs>
              <w:rPr>
                <w:rFonts w:ascii="Times New Roman" w:hAnsi="Times New Roman" w:eastAsia="仿宋_GB2312"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tabs>
                <w:tab w:val="left" w:pos="5460"/>
              </w:tabs>
              <w:rPr>
                <w:rFonts w:ascii="Times New Roman" w:hAnsi="Times New Roman" w:eastAsia="仿宋_GB2312" w:cs="Times New Roman"/>
                <w:color w:val="auto"/>
                <w:sz w:val="24"/>
                <w:szCs w:val="24"/>
              </w:rPr>
            </w:pP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备案声明：</w:t>
            </w:r>
          </w:p>
          <w:p>
            <w:pPr>
              <w:tabs>
                <w:tab w:val="left" w:pos="5460"/>
              </w:tabs>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以上情况全部属实，如有不真实，愿承担由此引起的法律责任。</w:t>
            </w: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ind w:firstLine="465"/>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备案银行签章      </w:t>
            </w:r>
          </w:p>
          <w:p>
            <w:pPr>
              <w:tabs>
                <w:tab w:val="left" w:pos="5460"/>
              </w:tabs>
              <w:ind w:firstLine="465"/>
              <w:jc w:val="right"/>
              <w:rPr>
                <w:rFonts w:ascii="Times New Roman" w:hAnsi="Times New Roman" w:eastAsia="仿宋_GB2312" w:cs="Times New Roman"/>
                <w:color w:val="auto"/>
                <w:sz w:val="24"/>
                <w:szCs w:val="24"/>
              </w:rPr>
            </w:pPr>
          </w:p>
          <w:p>
            <w:pPr>
              <w:tabs>
                <w:tab w:val="left" w:pos="5460"/>
              </w:tabs>
              <w:wordWrap w:val="0"/>
              <w:ind w:firstLine="465"/>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附注：</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1.本表仅适用于境内商业银行总行（或外国银行分行）。</w:t>
            </w:r>
          </w:p>
          <w:p>
            <w:pPr>
              <w:tabs>
                <w:tab w:val="left" w:pos="546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2.备案银行名称及社会统一信用代码应与工商营业执照信息一致。</w:t>
            </w:r>
          </w:p>
        </w:tc>
      </w:tr>
    </w:tbl>
    <w:p>
      <w:pPr>
        <w:tabs>
          <w:tab w:val="left" w:pos="5460"/>
        </w:tabs>
      </w:pPr>
      <w:r>
        <w:rPr>
          <w:rFonts w:ascii="Times New Roman" w:hAnsi="Times New Roman" w:eastAsia="仿宋_GB2312" w:cs="Times New Roman"/>
          <w:color w:val="auto"/>
          <w:sz w:val="24"/>
          <w:szCs w:val="24"/>
        </w:rPr>
        <w:t>3.“停办时间”是指正式停止办理调运外币现钞进出境业务的日期。</w:t>
      </w:r>
    </w:p>
    <w:sectPr>
      <w:headerReference r:id="rId6" w:type="first"/>
      <w:footerReference r:id="rId7" w:type="first"/>
      <w:headerReference r:id="rId5"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7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44</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78"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03953C6"/>
    <w:rsid w:val="03564C06"/>
    <w:rsid w:val="156915F1"/>
    <w:rsid w:val="283055A0"/>
    <w:rsid w:val="45D74323"/>
    <w:rsid w:val="487429ED"/>
    <w:rsid w:val="588440C7"/>
    <w:rsid w:val="5A3D278A"/>
    <w:rsid w:val="5D9D2C3A"/>
    <w:rsid w:val="5DAB1E3B"/>
    <w:rsid w:val="603953C6"/>
    <w:rsid w:val="6EB2602C"/>
    <w:rsid w:val="6F1F535B"/>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2021-02-03T07:34:00Z</dcterms:created>
  <dc:creator>OaUser</dc:creator>
  <cp:lastModifiedBy>陈杨</cp:lastModifiedBy>
  <dcterms:modified xsi:type="dcterms:W3CDTF">2023-08-18T03:09:49Z</dcterms:modified>
  <dc:title>编号：57016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