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20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843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变更申请材料清单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申请人可通过窗口、邮寄等方式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国家外汇管理局分支局提交申请材料。</w:t>
      </w:r>
    </w:p>
    <w:p>
      <w:pPr>
        <w:numPr>
          <w:numId w:val="0"/>
        </w:numP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   1.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四川省分局</w:t>
      </w:r>
    </w:p>
    <w:p>
      <w:pPr>
        <w:numPr>
          <w:numId w:val="0"/>
        </w:numP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   （1）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窗口接收：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成都市武侯区二环路南二段15号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1412办公室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85261002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numPr>
          <w:numId w:val="0"/>
        </w:numP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   （2）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邮寄接收：国家外汇管理局四川省分局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经常项目处，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成都市武侯区二环路南二段15号，邮政编码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610041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numPr>
          <w:numId w:val="0"/>
        </w:numPr>
        <w:rPr>
          <w:rFonts w:hint="eastAsia" w:ascii="仿宋_GB2312" w:hAnsi="Times New Roman" w:eastAsia="仿宋_GB231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   2.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四川省各市（州）中心支局、支局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接收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方式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间见分局互联网站特色服务栏目。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（十五）咨询途径、监督和投诉、公开查询等由所在地分局（外汇管理部）办理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向国家外汇管理局四川省分局进行咨询、进程查询、监督和投诉等可通过分局互联网站的相应栏目进行。网址为http://www.safe.gov.cn/sichuan/,也可通过分局互联网站上公布的电话028-85261002进行咨询。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办公地址：四川省成都市武侯区二环路南二段15号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办公时间：法定工作日 上午8:30-11:30，下午14:00-17:30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联系电话：028-85261002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四川省各市（州）中心支局、支局办公地址和办公时间见分局互联网站特色服务栏目。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XX保险公司关于经营外汇保险业务的申请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申请材料未明确业务范围，内部管理制度缺少操作流程、资金管理和数据报送等内容。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adjustRightInd w:val="0"/>
        <w:snapToGrid w:val="0"/>
        <w:ind w:right="301"/>
        <w:jc w:val="center"/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group id="Group 47" o:spid="_x0000_s1027" style="position:absolute;left:0;margin-left:-39.15pt;margin-top:40.85pt;height:505.05pt;width:481.85pt;rotation:0f;z-index:251658240;" coordorigin="1017,3380" coordsize="9637,10101">
            <o:lock v:ext="edit" position="f" selection="f" grouping="f" rotation="f" cropping="f" text="f" aspectratio="f"/>
            <v:shape id="AutoShape 287" o:spid="_x0000_s1028" type="#_x0000_t32" style="position:absolute;left:1816;top:5317;height:0;width:1543;rotation:589824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8" o:spid="_x0000_s1029" type="#_x0000_t32" style="position:absolute;left:4695;top:6557;height:0;width:50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9" o:spid="_x0000_s1030" type="#_x0000_t34" style="position:absolute;left:4680;top:7588;height:1;width:519;rotation:0f;" o:ole="f" fillcolor="#FFFFFF" filled="t" o:preferrelative="t" stroked="t" coordorigin="0,0" coordsize="21600,21600" adj="10779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0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1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2" o:spid="_x0000_s1033" type="#_x0000_t32" style="position:absolute;left:5002;top:9900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3" o:spid="_x0000_s1034" type="#_x0000_t32" style="position:absolute;left:4986;top:11819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4" o:spid="_x0000_s1035" type="#_x0000_t32" style="position:absolute;left:2627;top:8029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5" o:spid="_x0000_s1036" type="#_x0000_t32" style="position:absolute;left:2627;top:9435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6" o:spid="_x0000_s1037" type="#_x0000_t110" style="position:absolute;left:1017;top:6095;height:2115;width:315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297" o:spid="_x0000_s1038" type="#_x0000_t32" style="position:absolute;left:4160;top:7070;height:0;width:1025;rotation:589824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8" o:spid="_x0000_s1039" type="#_x0000_t32" style="position:absolute;left:4167;top:7156;height:0;width:51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299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shape id="AutoShape 300" o:spid="_x0000_s1041" type="#_x0000_t109" style="position:absolute;left:5199;top:6215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01" o:spid="_x0000_s1042" style="position:absolute;left:5214;top:7156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02" o:spid="_x0000_s1043" type="#_x0000_t109" style="position:absolute;left:3452;top:9085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AutoShape 303" o:spid="_x0000_s1044" type="#_x0000_t110" style="position:absolute;left:3456;top:10337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04" o:spid="_x0000_s1045" type="#_x0000_t109" style="position:absolute;left:3452;top:12724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05" o:spid="_x0000_s1046" type="#_x0000_t109" style="position:absolute;left:7786;top:10665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06" o:spid="_x0000_s1047" type="#_x0000_t32" style="position:absolute;left:6520;top:11046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07" o:spid="_x0000_s1048" type="#_x0000_t116" style="position:absolute;left:1700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sectPr>
      <w:footerReference r:id="rId5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16BA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0E1402"/>
    <w:rsid w:val="000E4759"/>
    <w:rsid w:val="0012271F"/>
    <w:rsid w:val="00130519"/>
    <w:rsid w:val="001332EE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0108"/>
    <w:rsid w:val="00196FAE"/>
    <w:rsid w:val="001A3E49"/>
    <w:rsid w:val="001A72AA"/>
    <w:rsid w:val="001B1E2C"/>
    <w:rsid w:val="001C0646"/>
    <w:rsid w:val="001C44C7"/>
    <w:rsid w:val="001D65A2"/>
    <w:rsid w:val="001E1407"/>
    <w:rsid w:val="001F4BD4"/>
    <w:rsid w:val="001F7297"/>
    <w:rsid w:val="00205D07"/>
    <w:rsid w:val="00212F39"/>
    <w:rsid w:val="00215BA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E1323"/>
    <w:rsid w:val="002F3868"/>
    <w:rsid w:val="00302119"/>
    <w:rsid w:val="00302E87"/>
    <w:rsid w:val="00310261"/>
    <w:rsid w:val="0033051F"/>
    <w:rsid w:val="00343044"/>
    <w:rsid w:val="00344B01"/>
    <w:rsid w:val="00353AC4"/>
    <w:rsid w:val="00360FA0"/>
    <w:rsid w:val="003616B4"/>
    <w:rsid w:val="0037548C"/>
    <w:rsid w:val="003A57B2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40A1F"/>
    <w:rsid w:val="00443603"/>
    <w:rsid w:val="00443604"/>
    <w:rsid w:val="004501EA"/>
    <w:rsid w:val="00460458"/>
    <w:rsid w:val="00463BFF"/>
    <w:rsid w:val="0046792D"/>
    <w:rsid w:val="004767DF"/>
    <w:rsid w:val="00481032"/>
    <w:rsid w:val="00493CCC"/>
    <w:rsid w:val="0049552E"/>
    <w:rsid w:val="004A0218"/>
    <w:rsid w:val="004A7840"/>
    <w:rsid w:val="004B545A"/>
    <w:rsid w:val="004B7E80"/>
    <w:rsid w:val="004C1596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50714"/>
    <w:rsid w:val="00563796"/>
    <w:rsid w:val="00564312"/>
    <w:rsid w:val="005A2981"/>
    <w:rsid w:val="005C6937"/>
    <w:rsid w:val="005C7F02"/>
    <w:rsid w:val="005F0A86"/>
    <w:rsid w:val="005F144A"/>
    <w:rsid w:val="005F1C00"/>
    <w:rsid w:val="0061621E"/>
    <w:rsid w:val="0062366A"/>
    <w:rsid w:val="00630AA8"/>
    <w:rsid w:val="00630B2E"/>
    <w:rsid w:val="00643D2A"/>
    <w:rsid w:val="00664E11"/>
    <w:rsid w:val="00673432"/>
    <w:rsid w:val="00673B30"/>
    <w:rsid w:val="00696E5D"/>
    <w:rsid w:val="006B5B86"/>
    <w:rsid w:val="006C28AF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088"/>
    <w:rsid w:val="00785F45"/>
    <w:rsid w:val="00795E87"/>
    <w:rsid w:val="007A2780"/>
    <w:rsid w:val="007A68EA"/>
    <w:rsid w:val="007B06FC"/>
    <w:rsid w:val="007B0FEF"/>
    <w:rsid w:val="007B2DB5"/>
    <w:rsid w:val="007C2C0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B5E"/>
    <w:rsid w:val="008471B6"/>
    <w:rsid w:val="0084737D"/>
    <w:rsid w:val="00851521"/>
    <w:rsid w:val="0085686A"/>
    <w:rsid w:val="00860878"/>
    <w:rsid w:val="008653AB"/>
    <w:rsid w:val="008731FF"/>
    <w:rsid w:val="008816CB"/>
    <w:rsid w:val="0088294A"/>
    <w:rsid w:val="0089282A"/>
    <w:rsid w:val="008A1270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2B3"/>
    <w:rsid w:val="00980F02"/>
    <w:rsid w:val="00991B77"/>
    <w:rsid w:val="00997523"/>
    <w:rsid w:val="009A0C5D"/>
    <w:rsid w:val="009C3809"/>
    <w:rsid w:val="009C4672"/>
    <w:rsid w:val="009C491B"/>
    <w:rsid w:val="009D0911"/>
    <w:rsid w:val="009D24F8"/>
    <w:rsid w:val="009D688C"/>
    <w:rsid w:val="009D7B83"/>
    <w:rsid w:val="009E49CD"/>
    <w:rsid w:val="009F1CE6"/>
    <w:rsid w:val="009F276E"/>
    <w:rsid w:val="009F7A36"/>
    <w:rsid w:val="00A1524C"/>
    <w:rsid w:val="00A249C2"/>
    <w:rsid w:val="00A24FAB"/>
    <w:rsid w:val="00A301E7"/>
    <w:rsid w:val="00A31525"/>
    <w:rsid w:val="00A376AD"/>
    <w:rsid w:val="00A42E69"/>
    <w:rsid w:val="00A45CA7"/>
    <w:rsid w:val="00A51415"/>
    <w:rsid w:val="00A6014E"/>
    <w:rsid w:val="00A60356"/>
    <w:rsid w:val="00A61333"/>
    <w:rsid w:val="00A61A9C"/>
    <w:rsid w:val="00A66F2C"/>
    <w:rsid w:val="00A73838"/>
    <w:rsid w:val="00A81DF1"/>
    <w:rsid w:val="00A90EF3"/>
    <w:rsid w:val="00AA7717"/>
    <w:rsid w:val="00AB131E"/>
    <w:rsid w:val="00AB644F"/>
    <w:rsid w:val="00AB70C5"/>
    <w:rsid w:val="00AC3F5E"/>
    <w:rsid w:val="00AC5293"/>
    <w:rsid w:val="00AD37AF"/>
    <w:rsid w:val="00AE7ACF"/>
    <w:rsid w:val="00AF1ED9"/>
    <w:rsid w:val="00B06409"/>
    <w:rsid w:val="00B16C25"/>
    <w:rsid w:val="00B17D66"/>
    <w:rsid w:val="00B2080F"/>
    <w:rsid w:val="00B31FD9"/>
    <w:rsid w:val="00B35D3A"/>
    <w:rsid w:val="00B422F1"/>
    <w:rsid w:val="00B60377"/>
    <w:rsid w:val="00B71531"/>
    <w:rsid w:val="00B716CB"/>
    <w:rsid w:val="00B71F89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4291"/>
    <w:rsid w:val="00C623EC"/>
    <w:rsid w:val="00C672C3"/>
    <w:rsid w:val="00C712B2"/>
    <w:rsid w:val="00C94325"/>
    <w:rsid w:val="00C9681A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13966"/>
    <w:rsid w:val="00D33A4D"/>
    <w:rsid w:val="00D33F76"/>
    <w:rsid w:val="00D41F5E"/>
    <w:rsid w:val="00D42E6E"/>
    <w:rsid w:val="00D43DC0"/>
    <w:rsid w:val="00D54E56"/>
    <w:rsid w:val="00D6407D"/>
    <w:rsid w:val="00D93E78"/>
    <w:rsid w:val="00DC6E91"/>
    <w:rsid w:val="00DC7514"/>
    <w:rsid w:val="00DD3845"/>
    <w:rsid w:val="00DD5039"/>
    <w:rsid w:val="00E1687A"/>
    <w:rsid w:val="00E20A2E"/>
    <w:rsid w:val="00E26582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A3F5E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27E3D"/>
    <w:rsid w:val="00F40278"/>
    <w:rsid w:val="00F41832"/>
    <w:rsid w:val="00F51D34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1740"/>
    <w:rsid w:val="00FC3929"/>
    <w:rsid w:val="00FC4D8F"/>
    <w:rsid w:val="00FD06D3"/>
    <w:rsid w:val="00FD7687"/>
    <w:rsid w:val="00FE3157"/>
    <w:rsid w:val="00FE6865"/>
    <w:rsid w:val="00FE6993"/>
    <w:rsid w:val="04781545"/>
    <w:rsid w:val="055117D7"/>
    <w:rsid w:val="0C961836"/>
    <w:rsid w:val="1EE24A39"/>
    <w:rsid w:val="1F696F84"/>
    <w:rsid w:val="2361109A"/>
    <w:rsid w:val="25CF10E8"/>
    <w:rsid w:val="27C92E5C"/>
    <w:rsid w:val="309A5711"/>
    <w:rsid w:val="34FB227B"/>
    <w:rsid w:val="43E517F0"/>
    <w:rsid w:val="4E2D7CD0"/>
    <w:rsid w:val="53B953E8"/>
    <w:rsid w:val="556D3B35"/>
    <w:rsid w:val="5EB94577"/>
    <w:rsid w:val="66676443"/>
    <w:rsid w:val="7112100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400</Words>
  <Characters>2283</Characters>
  <Lines>19</Lines>
  <Paragraphs>5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OaUser</cp:lastModifiedBy>
  <cp:lastPrinted>2017-12-26T09:10:00Z</cp:lastPrinted>
  <dcterms:modified xsi:type="dcterms:W3CDTF">2021-02-03T09:04:32Z</dcterms:modified>
  <dc:title>编号：57014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