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四、银行合作办理远期结售汇业务市场准入审批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2.《国家外汇管理局关于合作办理远期结售汇业务有关问题的通知》（汇发[2010]62号）。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向所在地国家外汇管理局分局（外汇管理部）申请，如处于市（地、州、区）、县，应向所在地国家外汇管理局中心支局或支局申请，并逐级上报至国家外汇管理局分局（外汇管理部）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申请人可为境内银行总行或其分支机构。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1.境内银行总行需同时符合以下条件：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（3）上年度外汇资产季平均余额在等值2000万美元（含）以上；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（5）具有完善的合作办理远期结售汇业务管理制度；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2.境内银行分支机构需同时符合以下条件：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（4）取得其总行（或总社）授权。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银行分支机构合作办理远期结售汇业务市场准入审批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一般程序：申请、受理、审查、出具备案通知书。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备案通知书。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国家外汇管理局深圳市分局办公地址：深圳市罗湖区深南东路5006号。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办公时间：周一至周五（法定节假日除外）  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上午8:30至中午12:00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下午14:00至下午17:30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电话、电子邮件、网址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咨询、监督投诉等可通过国家外汇管理局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栏目进行。网址为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</w:rPr>
        <w:instrText xml:space="preserve"> HYPERLINK "http://www.safe.gov.cn/" \h </w:instrTex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</w:rPr>
        <w:t>www.safe.gov.cn</w: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/shenzhen/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咨询、监督投诉等可通过国家外汇管理局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栏目进行。网址为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</w:rPr>
        <w:instrText xml:space="preserve"> HYPERLINK "http://www.safe.gov.cn/" \h </w:instrTex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</w:rPr>
        <w:t>www.safe.gov.cn</w: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/shenzhen/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无固定格式，但需要根据总行、分支机构提供不同的材料，有关内容要求详见（六）申请材料。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合作办理远期结售汇业务相关管理制度包含内容不全等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Group 492" o:spid="_x0000_s1027" style="position:absolute;left:0;margin-left:-39.65pt;margin-top:0.9pt;height:418.5pt;width:459.7pt;rotation:0f;z-index:251661312;" coordorigin="1007,3330" coordsize="9194,8370">
            <o:lock v:ext="edit" position="f" selection="f" grouping="f" rotation="f" cropping="f" text="f" aspectratio="f"/>
            <v:shape id="Straight Connector 493" o:spid="_x0000_s1028" type="#_x0000_t32" style="position:absolute;left:5392;top:8652;height:437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4" o:spid="_x0000_s1029" type="#_x0000_t32" style="position:absolute;left:6547;top:9623;height:90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5" o:spid="_x0000_s1030" type="#_x0000_t32" style="position:absolute;left:4432;top:9623;height:90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6" o:spid="_x0000_s1031" type="#_x0000_t32" style="position:absolute;left:2612;top:6826;height:139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traight Connector 497" o:spid="_x0000_s1032" type="#_x0000_t32" style="position:absolute;left:2612;top:8217;height:0;width:82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Rectangle 498" o:spid="_x0000_s1033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Rectangle 499" o:spid="_x0000_s1034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Rectangle 500" o:spid="_x0000_s1035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Rectangle 501" o:spid="_x0000_s1036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Rectangle 502" o:spid="_x0000_s1037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  <v:shape id="Straight Connector 503" o:spid="_x0000_s1038" type="#_x0000_t32" style="position:absolute;left:2612;top:4693;height:1468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4" o:spid="_x0000_s1039" type="#_x0000_t32" style="position:absolute;left:3570;top:5789;height:1;width:1269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5" o:spid="_x0000_s1040" type="#_x0000_t32" style="position:absolute;left:3667;top:6593;height:0;width:11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6" o:spid="_x0000_s1041" type="#_x0000_t32" style="position:absolute;left:8191;top:5266;flip:y;height:27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7" o:spid="_x0000_s1042" type="#_x0000_t32" style="position:absolute;left:2629;top:4981;flip:x;height:1;width:4643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Flowchart: Decision 508" o:spid="_x0000_s1043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Rectangle 509" o:spid="_x0000_s1044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Rectangle 510" o:spid="_x0000_s1045" style="position:absolute;left:1771;top:3330;height:1363;width:26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</v:group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1" o:spid="_x0000_s1046" style="position:absolute;left:0;margin-left:273.6pt;margin-top:57.9pt;height:39.8pt;width:104.7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0" o:spid="_x0000_s1047" style="position:absolute;left:0;margin-left:-1.45pt;margin-top:0.9pt;height:68.15pt;width:133.1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88" o:spid="_x0000_s1048" style="position:absolute;left:0;margin-left:273.6pt;margin-top:26.7pt;height:39.8pt;width:104.7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1EF0430F"/>
    <w:rsid w:val="2ECF64CE"/>
    <w:rsid w:val="2FBA5F21"/>
    <w:rsid w:val="3581495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3"/>
        <o:r id="V:Rule2" type="connector" idref="#Straight Connector 494"/>
        <o:r id="V:Rule3" type="connector" idref="#Straight Connector 495"/>
        <o:r id="V:Rule4" type="connector" idref="#Straight Connector 496"/>
        <o:r id="V:Rule5" type="connector" idref="#Straight Connector 497"/>
        <o:r id="V:Rule6" type="connector" idref="#Straight Connector 503"/>
        <o:r id="V:Rule7" type="connector" idref="#Straight Connector 504"/>
        <o:r id="V:Rule8" type="connector" idref="#Straight Connector 505"/>
        <o:r id="V:Rule9" type="connector" idref="#Straight Connector 506"/>
        <o:r id="V:Rule10" type="connector" idref="#Straight Connector 50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正文文本 Char"/>
    <w:basedOn w:val="14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381</Words>
  <Characters>2177</Characters>
  <Lines>18</Lines>
  <Paragraphs>5</Paragraphs>
  <TotalTime>0</TotalTime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史学岗</cp:lastModifiedBy>
  <cp:lastPrinted>2020-05-08T01:02:00Z</cp:lastPrinted>
  <dcterms:modified xsi:type="dcterms:W3CDTF">2021-05-27T08:02:06Z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