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四、银行（含农村信用社）即期结售汇业务市场准入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ascii="Times New Roman" w:hAnsi="Times New Roman" w:eastAsia="仿宋_GB2312" w:cs="Times New Roman"/>
          <w:sz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ascii="Times New Roman" w:hAnsi="Times New Roman" w:eastAsia="仿宋_GB2312" w:cs="Times New Roman"/>
          <w:sz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银行总行。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2.银行分支机构。向所在地国家外汇管理局分支局备案。</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1"/>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1.银行总行。政策性银行、全国性商业银行，决定机构为国家外汇管理局；其他银行决定机构为所在地国家外汇管理局分局（外汇管理部）。外国银行分行视同总行管理。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2.银行分支机构。决定机构为所在地国家外汇管理局分支局。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3.具备办理业务所必需的软硬件设备。</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4.拥有具备相应业务工作经验的高级管理人员和业务人员。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银行需银行业监督管理部门批准外汇业务经营资格的，还应具备相应的外汇业务经营资格。</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银行总行申请即期结售汇业务市场准入</w:t>
      </w:r>
      <w:r>
        <w:rPr>
          <w:rFonts w:ascii="Times New Roman" w:hAnsi="Times New Roman" w:eastAsia="仿宋_GB2312" w:cs="Times New Roman"/>
          <w:sz w:val="30"/>
          <w:szCs w:val="30"/>
        </w:rPr>
        <w:t>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212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12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left"/>
              <w:rPr>
                <w:rFonts w:ascii="Times New Roman" w:hAnsi="Times New Roman" w:eastAsia="仿宋_GB2312" w:cs="Times New Roman"/>
                <w:sz w:val="24"/>
                <w:szCs w:val="24"/>
              </w:rPr>
            </w:pPr>
          </w:p>
        </w:tc>
        <w:tc>
          <w:tcPr>
            <w:tcW w:w="497"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办理结售汇业务的内部管理规章制度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需要经银行业监督管理部门批准外汇业务经营资格的，还应提交外汇业务许可文件的复印件。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ind w:right="300"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银行分行</w:t>
      </w:r>
      <w:r>
        <w:rPr>
          <w:rFonts w:hint="eastAsia" w:ascii="Times New Roman" w:hAnsi="Times New Roman" w:eastAsia="仿宋_GB2312" w:cs="Times New Roman"/>
          <w:sz w:val="30"/>
          <w:szCs w:val="30"/>
        </w:rPr>
        <w:t>（含农村信用社）即期结售汇业务市场准入</w:t>
      </w:r>
      <w:r>
        <w:rPr>
          <w:rFonts w:ascii="Times New Roman" w:hAnsi="Times New Roman" w:eastAsia="仿宋_GB2312" w:cs="Times New Roman"/>
          <w:sz w:val="30"/>
          <w:szCs w:val="30"/>
        </w:rPr>
        <w:t>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1276"/>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4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left"/>
              <w:rPr>
                <w:rFonts w:ascii="Times New Roman" w:hAnsi="Times New Roman" w:eastAsia="仿宋_GB2312" w:cs="Times New Roman"/>
                <w:sz w:val="24"/>
                <w:szCs w:val="24"/>
              </w:rPr>
            </w:pPr>
          </w:p>
        </w:tc>
        <w:tc>
          <w:tcPr>
            <w:tcW w:w="134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w:t>
            </w:r>
            <w:r>
              <w:rPr>
                <w:rFonts w:hint="eastAsia" w:ascii="Times New Roman" w:hAnsi="Times New Roman" w:eastAsia="仿宋_GB2312" w:cs="Times New Roman"/>
                <w:sz w:val="24"/>
                <w:szCs w:val="24"/>
              </w:rPr>
              <w:t>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bl>
    <w:p>
      <w:pPr>
        <w:ind w:right="300"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.银行支行</w:t>
      </w:r>
      <w:r>
        <w:rPr>
          <w:rFonts w:hint="eastAsia" w:ascii="Times New Roman" w:hAnsi="Times New Roman" w:eastAsia="仿宋_GB2312" w:cs="Times New Roman"/>
          <w:sz w:val="30"/>
          <w:szCs w:val="30"/>
        </w:rPr>
        <w:t>（含农村信用社）</w:t>
      </w:r>
      <w:r>
        <w:rPr>
          <w:rFonts w:ascii="Times New Roman" w:hAnsi="Times New Roman" w:eastAsia="仿宋_GB2312" w:cs="Times New Roman"/>
          <w:sz w:val="30"/>
          <w:szCs w:val="30"/>
        </w:rPr>
        <w:t>及下辖机构</w:t>
      </w:r>
      <w:r>
        <w:rPr>
          <w:rFonts w:hint="eastAsia" w:ascii="Times New Roman" w:hAnsi="Times New Roman" w:eastAsia="仿宋_GB2312" w:cs="Times New Roman"/>
          <w:sz w:val="30"/>
          <w:szCs w:val="30"/>
        </w:rPr>
        <w:t>即期结售汇业务市场准入</w:t>
      </w:r>
      <w:r>
        <w:rPr>
          <w:rFonts w:ascii="Times New Roman" w:hAnsi="Times New Roman" w:eastAsia="仿宋_GB2312" w:cs="Times New Roman"/>
          <w:sz w:val="30"/>
          <w:szCs w:val="30"/>
        </w:rPr>
        <w:t>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left="582" w:leftChars="277"/>
        <w:rPr>
          <w:rFonts w:ascii="Times New Roman" w:hAnsi="Times New Roman" w:eastAsia="黑体" w:cs="Times New Roman"/>
          <w:sz w:val="30"/>
          <w:szCs w:val="30"/>
        </w:rPr>
      </w:pPr>
      <w:r>
        <w:rPr>
          <w:rFonts w:ascii="Times New Roman" w:hAnsi="Times New Roman" w:eastAsia="仿宋_GB2312" w:cs="Times New Roman"/>
          <w:sz w:val="30"/>
          <w:szCs w:val="30"/>
        </w:rPr>
        <w:t>20个工作日。办理过程中所需的现场验收等，不计入时限。</w:t>
      </w: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国家外汇局管理局办公地址：北京市海淀区阜成路18号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国家外汇局管理局办公时间：工作日8:00-17:00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各地外汇分局办公地址和办公时间见各地外汇局官方互联网站。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360" w:lineRule="auto"/>
        <w:ind w:firstLine="600"/>
        <w:rPr>
          <w:rFonts w:ascii="Times New Roman" w:hAnsi="Times New Roman" w:eastAsia="黑体" w:cs="Times New Roman"/>
          <w:sz w:val="30"/>
          <w:szCs w:val="30"/>
        </w:rPr>
      </w:pPr>
      <w:bookmarkStart w:id="0" w:name="_GoBack"/>
      <w:bookmarkEnd w:id="0"/>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无固定格式，但需要根据总行、分行、支行提供不同的材料</w:t>
      </w:r>
      <w:r>
        <w:rPr>
          <w:rFonts w:hint="eastAsia" w:ascii="Times New Roman" w:hAnsi="Times New Roman" w:eastAsia="仿宋_GB2312" w:cs="Times New Roman"/>
          <w:sz w:val="30"/>
          <w:szCs w:val="30"/>
        </w:rPr>
        <w:t>，有关内容要求详见（六）申请材料。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Rectangle 399" o:spid="_x0000_s1027" style="position:absolute;left:0;margin-left:-1.45pt;margin-top:0.15pt;height:68.9pt;width:148.4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Rectangle 394" o:spid="_x0000_s1028" style="position:absolute;left:0;margin-left:273.6pt;margin-top:26.7pt;height:39.8pt;width:104.7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387" o:spid="_x0000_s1029" type="#_x0000_t32" style="position:absolute;left:0;flip:x;margin-left:41.45pt;margin-top:21.05pt;height:0.05pt;width:232.1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3" o:spid="_x0000_s1030" type="#_x0000_t32" style="position:absolute;left:0;margin-left:40.6pt;margin-top:6.65pt;height:73.4pt;width:0.85pt;rotation:0f;z-index:25165824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392" o:spid="_x0000_s1031" type="#_x0000_t32" style="position:absolute;left:0;margin-left:40.6pt;margin-top:182.85pt;height:0.05pt;width:41.1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1" o:spid="_x0000_s1032" type="#_x0000_t32" style="position:absolute;left:0;margin-left:40.6pt;margin-top:113.3pt;height:69.55pt;width:0.05pt;rotation:0f;z-index:251666432;"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5" o:spid="_x0000_s1033" type="#_x0000_t32" style="position:absolute;left:0;margin-left:93.35pt;margin-top:101.65pt;height:0.05pt;width:58.6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9" o:spid="_x0000_s1034" type="#_x0000_t32" style="position:absolute;left:0;margin-left:237.35pt;margin-top:253.15pt;height:45.25pt;width:0.85pt;rotation:0f;z-index:25166438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0" o:spid="_x0000_s1035" type="#_x0000_t32" style="position:absolute;left:0;margin-left:131.6pt;margin-top:253.15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8" o:spid="_x0000_s1036" type="#_x0000_t32" style="position:absolute;left:0;margin-left:179.6pt;margin-top:204.6pt;height:21.85pt;width:0.05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ind w:right="300"/>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384" o:spid="_x0000_s1037" type="#_x0000_t32" style="position:absolute;left:0;margin-left:89.25pt;margin-top:61.45pt;height:0.05pt;width:62.7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401" o:spid="_x0000_s1038" style="position:absolute;left:0;margin-left:199.5pt;margin-top:298.4pt;height:58.6pt;width:87.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w:pict>
      </w:r>
      <w:r>
        <w:rPr>
          <w:rFonts w:ascii="Times New Roman" w:hAnsi="Times New Roman" w:eastAsia="黑体" w:cs="Times New Roman"/>
          <w:kern w:val="2"/>
          <w:sz w:val="48"/>
          <w:szCs w:val="48"/>
          <w:lang w:val="en-US" w:eastAsia="zh-CN" w:bidi="ar-SA"/>
        </w:rPr>
        <w:pict>
          <v:rect id="Rectangle 400" o:spid="_x0000_s1039" style="position:absolute;left:0;margin-left:81.65pt;margin-top:298.4pt;height:58.6pt;width:87.35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w:pict>
      </w:r>
      <w:r>
        <w:rPr>
          <w:rFonts w:ascii="Times New Roman" w:hAnsi="Times New Roman" w:eastAsia="黑体" w:cs="Times New Roman"/>
          <w:kern w:val="2"/>
          <w:sz w:val="48"/>
          <w:szCs w:val="48"/>
          <w:lang w:val="en-US" w:eastAsia="zh-CN" w:bidi="ar-SA"/>
        </w:rPr>
        <w:pict>
          <v:rect id="Rectangle 398" o:spid="_x0000_s1040" style="position:absolute;left:0;margin-left:81.7pt;margin-top:226.45pt;height:26.7pt;width:212.6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w:pict>
      </w:r>
      <w:r>
        <w:rPr>
          <w:rFonts w:ascii="Times New Roman" w:hAnsi="Times New Roman" w:eastAsia="黑体" w:cs="Times New Roman"/>
          <w:kern w:val="2"/>
          <w:sz w:val="48"/>
          <w:szCs w:val="48"/>
          <w:lang w:val="en-US" w:eastAsia="zh-CN" w:bidi="ar-SA"/>
        </w:rPr>
        <w:pict>
          <v:rect id="Rectangle 397" o:spid="_x0000_s1041" style="position:absolute;left:0;margin-left:81.65pt;margin-top:174.45pt;height:30.15pt;width:205.2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w:pict>
      </w:r>
      <w:r>
        <w:rPr>
          <w:rFonts w:ascii="Times New Roman" w:hAnsi="Times New Roman" w:eastAsia="仿宋_GB2312" w:cs="Times New Roman"/>
          <w:kern w:val="2"/>
          <w:sz w:val="30"/>
          <w:szCs w:val="30"/>
          <w:lang w:val="en-US" w:eastAsia="zh-CN" w:bidi="ar-SA"/>
        </w:rPr>
        <w:pict>
          <v:shape id="Straight Connector 386" o:spid="_x0000_s1042" type="#_x0000_t32" style="position:absolute;left:0;flip:y;margin-left:319.55pt;margin-top:4.1pt;height:44.75pt;width:0.05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396" o:spid="_x0000_s1043" style="position:absolute;left:0;margin-left:151.95pt;margin-top:91.45pt;height:45.3pt;width:268.1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w:pict>
      </w:r>
      <w:r>
        <w:rPr>
          <w:rFonts w:ascii="Times New Roman" w:hAnsi="Times New Roman" w:eastAsia="黑体" w:cs="Times New Roman"/>
          <w:kern w:val="2"/>
          <w:sz w:val="48"/>
          <w:szCs w:val="48"/>
          <w:lang w:val="en-US" w:eastAsia="zh-CN" w:bidi="ar-SA"/>
        </w:rPr>
        <w:pict>
          <v:rect id="Rectangle 395" o:spid="_x0000_s1044" style="position:absolute;left:0;margin-left:151.95pt;margin-top:48.85pt;height:25pt;width:268.1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w:pict>
      </w:r>
      <w:r>
        <w:rPr>
          <w:rFonts w:ascii="Times New Roman" w:hAnsi="Times New Roman" w:eastAsia="黑体" w:cs="Times New Roman"/>
          <w:kern w:val="2"/>
          <w:sz w:val="48"/>
          <w:szCs w:val="48"/>
          <w:lang w:val="en-US" w:eastAsia="zh-CN" w:bidi="ar-SA"/>
        </w:rPr>
        <w:pict>
          <v:shape id="Flowchart: Decision 393" o:spid="_x0000_s1045" type="#_x0000_t110" style="position:absolute;left:0;margin-left:-39.65pt;margin-top:35.35pt;height:94.45pt;width:163.7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9"/>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授权银行签章备案银行签章</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年月日年月人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vAlign w:val="top"/>
          </w:tcPr>
          <w:p>
            <w:pPr>
              <w:widowControl/>
              <w:jc w:val="right"/>
              <w:rPr>
                <w:rFonts w:ascii="Times New Roman" w:hAnsi="Times New Roman" w:eastAsia="仿宋_GB2312" w:cs="Times New Roman"/>
                <w:kern w:val="0"/>
                <w:sz w:val="24"/>
                <w:szCs w:val="24"/>
              </w:rPr>
            </w:pPr>
          </w:p>
          <w:p>
            <w:pPr>
              <w:widowControl/>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国家外汇管理局××分支局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年月日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附注：1、本表仅适用于银行分支机构。2、申请办理即期结售汇业务的银行营业网点无行政公章的，可以使用上级行行政公章替代，但其上级行需出具申请行无行政公章的说明材料。附2、4同。</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9</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10</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7132"/>
    <w:rsid w:val="003D77A5"/>
    <w:rsid w:val="003E6567"/>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184B5346"/>
    <w:rsid w:val="43836F35"/>
    <w:rsid w:val="6B0543B5"/>
    <w:rsid w:val="781461D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555</Words>
  <Characters>3168</Characters>
  <Lines>26</Lines>
  <Paragraphs>7</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史学岗</cp:lastModifiedBy>
  <cp:lastPrinted>2017-11-24T00:22:00Z</cp:lastPrinted>
  <dcterms:modified xsi:type="dcterms:W3CDTF">2021-05-27T07:58:17Z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